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5"/>
      <w:bookmarkEnd w:id="0"/>
      <w:bookmarkStart w:id="1" w:name="_Hlt449016246"/>
      <w:bookmarkEnd w:id="1"/>
      <w:bookmarkStart w:id="2" w:name="_Hlt448930105"/>
      <w:bookmarkEnd w:id="2"/>
      <w:bookmarkStart w:id="3" w:name="_Hlt450051172"/>
      <w:bookmarkEnd w:id="3"/>
      <w:bookmarkStart w:id="4" w:name="_Hlt450066087"/>
      <w:bookmarkEnd w:id="4"/>
      <w:bookmarkStart w:id="5" w:name="_Hlt450039480"/>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R4-2411887</w:t>
      </w:r>
      <w:bookmarkStart w:id="20" w:name="_GoBack"/>
      <w:bookmarkEnd w:id="20"/>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val="0"/>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val="0"/>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MSD requirements with intra-band contiguous UL CA</w:t>
      </w:r>
    </w:p>
    <w:p>
      <w:pPr>
        <w:keepNext w:val="0"/>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7.3.3</w:t>
      </w:r>
    </w:p>
    <w:p>
      <w:pPr>
        <w:keepNext w:val="0"/>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val="0"/>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val="0"/>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bookmarkStart w:id="7" w:name="OLE_LINK17"/>
      <w:bookmarkStart w:id="8" w:name="OLE_LINK25"/>
      <w:r>
        <w:rPr>
          <w:rFonts w:hint="eastAsia" w:cs="Times New Roman"/>
          <w:sz w:val="20"/>
          <w:szCs w:val="20"/>
          <w:lang w:val="en-US" w:eastAsia="zh-CN"/>
        </w:rPr>
        <w:t xml:space="preserve">In WF[1], the issue on </w:t>
      </w:r>
      <w:bookmarkStart w:id="9" w:name="OLE_LINK42"/>
      <w:r>
        <w:rPr>
          <w:rFonts w:hint="eastAsia" w:cs="Times New Roman"/>
          <w:sz w:val="20"/>
          <w:szCs w:val="20"/>
          <w:lang w:val="en-US" w:eastAsia="zh-CN"/>
        </w:rPr>
        <w:t xml:space="preserve">the MSD requirements with intra-band contiguous UL CA </w:t>
      </w:r>
      <w:bookmarkEnd w:id="9"/>
      <w:r>
        <w:rPr>
          <w:rFonts w:hint="eastAsia" w:cs="Times New Roman"/>
          <w:sz w:val="20"/>
          <w:szCs w:val="20"/>
          <w:lang w:val="en-US" w:eastAsia="zh-CN"/>
        </w:rPr>
        <w:t>was raised, see the proposals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Proposal 1: </w:t>
            </w:r>
            <w:r>
              <w:rPr>
                <w:rFonts w:ascii="Arial" w:hAnsi="Arial" w:eastAsia="PMingLiU" w:cs="Arial"/>
                <w:i/>
                <w:iCs/>
                <w:kern w:val="0"/>
                <w:sz w:val="20"/>
                <w:lang w:val="en-GB" w:eastAsia="en-US"/>
              </w:rPr>
              <w:t xml:space="preserve">Companies are encouraged to consider the following options for handling the MSD requirements resulting from intra-band contiguous UL CA configured </w:t>
            </w:r>
            <w:r>
              <w:rPr>
                <w:rFonts w:ascii="Arial" w:hAnsi="Arial" w:eastAsia="PMingLiU" w:cs="Arial"/>
                <w:kern w:val="0"/>
                <w:sz w:val="20"/>
                <w:lang w:val="en-GB" w:eastAsia="en-US"/>
              </w:rPr>
              <w:t>with non-contiguous allocations:</w:t>
            </w:r>
            <w:r>
              <w:rPr>
                <w:rFonts w:ascii="Arial" w:hAnsi="Arial" w:eastAsia="PMingLiU" w:cs="Arial"/>
                <w:i/>
                <w:iCs/>
                <w:kern w:val="0"/>
                <w:sz w:val="20"/>
                <w:lang w:val="en-GB" w:eastAsia="en-US"/>
              </w:rPr>
              <w:t xml:space="preserve">   </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val="0"/>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r>
              <w:rPr>
                <w:rFonts w:ascii="Arial" w:hAnsi="Arial" w:eastAsia="PMingLiU" w:cs="Arial"/>
                <w:i/>
                <w:iCs/>
                <w:kern w:val="0"/>
                <w:sz w:val="20"/>
                <w:lang w:val="en-GB" w:eastAsia="en-US"/>
              </w:rPr>
              <w:t xml:space="preserve">No change from TR 38.862 guidelines </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val="0"/>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xml:space="preserve">: Do not consider all MSD requirements resulting from intra-band contiguous UL CA configured </w:t>
            </w:r>
            <w:r>
              <w:rPr>
                <w:rFonts w:ascii="Arial" w:hAnsi="Arial" w:eastAsia="PMingLiU" w:cs="Arial"/>
                <w:kern w:val="0"/>
                <w:sz w:val="20"/>
                <w:lang w:val="en-GB" w:eastAsia="en-US"/>
              </w:rPr>
              <w:t>with non-contiguous allocations.</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val="0"/>
              <w:keepLines/>
              <w:pageBreakBefore w:val="0"/>
              <w:kinsoku/>
              <w:wordWrap/>
              <w:overflowPunct/>
              <w:topLinePunct w:val="0"/>
              <w:autoSpaceDE/>
              <w:autoSpaceDN/>
              <w:bidi w:val="0"/>
              <w:adjustRightInd/>
              <w:spacing w:beforeLines="-2147483648" w:after="120" w:afterLines="-2147483648" w:line="240" w:lineRule="auto"/>
              <w:ind w:left="284"/>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 xml:space="preserve">Option 3: </w:t>
            </w:r>
            <w:r>
              <w:rPr>
                <w:rFonts w:ascii="Arial" w:hAnsi="Arial" w:eastAsia="PMingLiU" w:cs="Arial"/>
                <w:i/>
                <w:iCs/>
                <w:kern w:val="0"/>
                <w:sz w:val="20"/>
                <w:lang w:val="en-GB" w:eastAsia="en-US"/>
              </w:rPr>
              <w:t xml:space="preserve">Do not consider only the MSD requirements resulting from intra-band contiguous UL CA configured </w:t>
            </w:r>
            <w:r>
              <w:rPr>
                <w:rFonts w:ascii="Arial" w:hAnsi="Arial" w:eastAsia="PMingLiU" w:cs="Arial"/>
                <w:kern w:val="0"/>
                <w:sz w:val="20"/>
                <w:lang w:val="en-GB" w:eastAsia="en-US"/>
              </w:rPr>
              <w:t>with 1RB+1RB allocations.</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i/>
                <w:iCs/>
                <w:kern w:val="0"/>
                <w:sz w:val="20"/>
                <w:lang w:val="en-US" w:eastAsia="en-US"/>
              </w:rPr>
            </w:pPr>
            <w:r>
              <w:rPr>
                <w:rFonts w:ascii="Arial" w:hAnsi="Arial" w:eastAsia="PMingLiU" w:cs="Arial"/>
                <w:b/>
                <w:bCs/>
                <w:i/>
                <w:iCs/>
                <w:kern w:val="0"/>
                <w:sz w:val="20"/>
                <w:lang w:val="en-GB" w:eastAsia="en-US"/>
              </w:rPr>
              <w:t xml:space="preserve">Proposal 2: </w:t>
            </w:r>
            <w:r>
              <w:rPr>
                <w:rFonts w:ascii="Arial" w:hAnsi="Arial" w:eastAsia="PMingLiU" w:cs="Arial"/>
                <w:i/>
                <w:iCs/>
                <w:kern w:val="0"/>
                <w:sz w:val="20"/>
                <w:lang w:val="en-GB" w:eastAsia="en-US"/>
              </w:rPr>
              <w:t xml:space="preserve">If Option 2 or Option 3 in Proposal 1 would be considered, which release to start taking effect? </w:t>
            </w:r>
            <w:r>
              <w:rPr>
                <w:rFonts w:ascii="Arial" w:hAnsi="Arial" w:eastAsia="PMingLiU" w:cs="Arial"/>
                <w:i/>
                <w:iCs/>
                <w:kern w:val="0"/>
                <w:sz w:val="20"/>
                <w:lang w:val="en-US" w:eastAsia="en-US"/>
              </w:rPr>
              <w:t xml:space="preserve">  </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US" w:eastAsia="en-US"/>
              </w:rPr>
            </w:pPr>
          </w:p>
          <w:p>
            <w:pPr>
              <w:keepNext w:val="0"/>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r>
              <w:rPr>
                <w:rFonts w:ascii="Arial" w:hAnsi="Arial" w:eastAsia="PMingLiU" w:cs="Arial"/>
                <w:i/>
                <w:iCs/>
                <w:kern w:val="0"/>
                <w:sz w:val="20"/>
                <w:lang w:val="en-GB" w:eastAsia="en-US"/>
              </w:rPr>
              <w:t xml:space="preserve">From earliest release where such MSD requirements have been specified. </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val="0"/>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Rel-18</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val="0"/>
              <w:keepLines/>
              <w:pageBreakBefore w:val="0"/>
              <w:kinsoku/>
              <w:wordWrap/>
              <w:overflowPunct/>
              <w:topLinePunct w:val="0"/>
              <w:autoSpaceDE/>
              <w:autoSpaceDN/>
              <w:bidi w:val="0"/>
              <w:adjustRightInd/>
              <w:spacing w:beforeLines="-2147483648" w:after="120" w:afterLines="-2147483648" w:line="240" w:lineRule="auto"/>
              <w:ind w:left="284"/>
              <w:jc w:val="both"/>
              <w:textAlignment w:val="auto"/>
              <w:rPr>
                <w:rFonts w:ascii="Arial" w:hAnsi="Arial" w:eastAsia="PMingLiU" w:cs="Arial"/>
                <w:i/>
                <w:iCs/>
                <w:kern w:val="0"/>
                <w:sz w:val="20"/>
                <w:lang w:val="en-GB" w:eastAsia="en-US"/>
              </w:rPr>
            </w:pPr>
            <w:r>
              <w:rPr>
                <w:rFonts w:ascii="Arial" w:hAnsi="Arial" w:eastAsia="PMingLiU" w:cs="Arial"/>
                <w:b/>
                <w:bCs/>
                <w:i/>
                <w:iCs/>
                <w:kern w:val="0"/>
                <w:sz w:val="20"/>
                <w:lang w:val="en-GB" w:eastAsia="en-US"/>
              </w:rPr>
              <w:t xml:space="preserve">Option 3: </w:t>
            </w:r>
            <w:r>
              <w:rPr>
                <w:rFonts w:ascii="Arial" w:hAnsi="Arial" w:eastAsia="PMingLiU" w:cs="Arial"/>
                <w:i/>
                <w:iCs/>
                <w:kern w:val="0"/>
                <w:sz w:val="20"/>
                <w:lang w:val="en-GB" w:eastAsia="en-US"/>
              </w:rPr>
              <w:t>Rel-19</w:t>
            </w:r>
          </w:p>
          <w:p>
            <w:pPr>
              <w:keepNext w:val="0"/>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i/>
                <w:iCs/>
                <w:kern w:val="0"/>
                <w:sz w:val="20"/>
                <w:lang w:val="en-US" w:eastAsia="en-US"/>
              </w:rPr>
            </w:pPr>
            <w:r>
              <w:rPr>
                <w:rFonts w:ascii="Arial" w:hAnsi="Arial" w:eastAsia="PMingLiU" w:cs="Arial"/>
                <w:b/>
                <w:bCs/>
                <w:i/>
                <w:iCs/>
                <w:kern w:val="0"/>
                <w:sz w:val="20"/>
                <w:lang w:val="en-GB" w:eastAsia="en-US"/>
              </w:rPr>
              <w:t xml:space="preserve">Proposal 3: </w:t>
            </w:r>
            <w:r>
              <w:rPr>
                <w:rFonts w:ascii="Arial" w:hAnsi="Arial" w:eastAsia="PMingLiU" w:cs="Arial"/>
                <w:i/>
                <w:iCs/>
                <w:kern w:val="0"/>
                <w:sz w:val="20"/>
                <w:lang w:val="en-GB" w:eastAsia="en-US"/>
              </w:rPr>
              <w:t xml:space="preserve">Is there a need to introduce cross-band MSD requirements resulting from intra-band contiguous UL CA configured with fully allocated maximum aggregated BW? </w:t>
            </w:r>
            <w:r>
              <w:rPr>
                <w:rFonts w:ascii="Arial" w:hAnsi="Arial" w:eastAsia="PMingLiU" w:cs="Arial"/>
                <w:i/>
                <w:iCs/>
                <w:kern w:val="0"/>
                <w:sz w:val="20"/>
                <w:lang w:val="en-US" w:eastAsia="en-US"/>
              </w:rPr>
              <w:t xml:space="preserve">  </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US" w:eastAsia="en-US"/>
              </w:rPr>
            </w:pPr>
          </w:p>
          <w:p>
            <w:pPr>
              <w:keepNext w:val="0"/>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r>
              <w:rPr>
                <w:rFonts w:ascii="Arial" w:hAnsi="Arial" w:eastAsia="PMingLiU" w:cs="Arial"/>
                <w:i/>
                <w:iCs/>
                <w:kern w:val="0"/>
                <w:sz w:val="20"/>
                <w:lang w:val="en-GB" w:eastAsia="en-US"/>
              </w:rPr>
              <w:t xml:space="preserve">Yes </w:t>
            </w:r>
          </w:p>
          <w:p>
            <w:pPr>
              <w:keepNext w:val="0"/>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val="0"/>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hint="default"/>
                <w:b w:val="0"/>
                <w:bCs w:val="0"/>
                <w:i w:val="0"/>
                <w:iCs w:val="0"/>
                <w:sz w:val="20"/>
                <w:szCs w:val="20"/>
                <w:highlight w:val="none"/>
                <w:vertAlign w:val="baseline"/>
                <w:lang w:val="en-US" w:eastAsia="zh-CN"/>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No</w:t>
            </w:r>
          </w:p>
        </w:tc>
      </w:tr>
    </w:tbl>
    <w:p>
      <w:pPr>
        <w:keepNext w:val="0"/>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last meeting, companies bring contributions [2~8] on the above issue but no consensus were reached. Due to the last meeting is the last meeting for R18 basket WID, so it seems it is not easy to overturn the R18 guidance and remove the non-contiguous allocation such as 1RB+1RB MSD test point for all the existing R18 configurations.</w:t>
      </w:r>
    </w:p>
    <w:bookmarkEnd w:id="7"/>
    <w:p>
      <w:pPr>
        <w:keepNext w:val="0"/>
        <w:keepLines/>
        <w:pageBreakBefore w:val="0"/>
        <w:widowControl w:val="0"/>
        <w:kinsoku/>
        <w:wordWrap/>
        <w:overflowPunct/>
        <w:topLinePunct w:val="0"/>
        <w:autoSpaceDE/>
        <w:autoSpaceDN/>
        <w:bidi w:val="0"/>
        <w:adjustRightInd/>
        <w:snapToGrid w:val="0"/>
        <w:spacing w:before="137" w:beforeLines="50" w:after="120" w:afterLines="50"/>
        <w:textAlignment w:val="auto"/>
        <w:rPr>
          <w:rFonts w:hint="default" w:cs="Times New Roman"/>
          <w:sz w:val="20"/>
          <w:szCs w:val="20"/>
          <w:lang w:val="en-US" w:eastAsia="zh-CN"/>
        </w:rPr>
      </w:pPr>
      <w:r>
        <w:rPr>
          <w:rFonts w:hint="default" w:cs="Times New Roman"/>
          <w:sz w:val="20"/>
          <w:szCs w:val="20"/>
          <w:lang w:val="en-US" w:eastAsia="zh-CN"/>
        </w:rPr>
        <w:t xml:space="preserve">In this contribution, </w:t>
      </w:r>
      <w:bookmarkStart w:id="10" w:name="OLE_LINK15"/>
      <w:r>
        <w:rPr>
          <w:rFonts w:hint="default" w:cs="Times New Roman"/>
          <w:sz w:val="20"/>
          <w:szCs w:val="20"/>
          <w:lang w:val="en-US" w:eastAsia="zh-CN"/>
        </w:rPr>
        <w:t xml:space="preserve">we give some </w:t>
      </w:r>
      <w:r>
        <w:rPr>
          <w:rFonts w:hint="eastAsia" w:cs="Times New Roman"/>
          <w:sz w:val="20"/>
          <w:szCs w:val="20"/>
          <w:lang w:val="en-US" w:eastAsia="zh-CN"/>
        </w:rPr>
        <w:t xml:space="preserve">further views </w:t>
      </w:r>
      <w:bookmarkStart w:id="11" w:name="OLE_LINK32"/>
      <w:bookmarkStart w:id="12" w:name="OLE_LINK1"/>
      <w:bookmarkStart w:id="13" w:name="OLE_LINK37"/>
      <w:r>
        <w:rPr>
          <w:rFonts w:hint="eastAsia" w:cs="Times New Roman"/>
          <w:sz w:val="20"/>
          <w:szCs w:val="20"/>
          <w:lang w:val="en-US" w:eastAsia="zh-CN"/>
        </w:rPr>
        <w:t>.</w:t>
      </w:r>
      <w:bookmarkEnd w:id="11"/>
      <w:bookmarkEnd w:id="12"/>
      <w:r>
        <w:rPr>
          <w:rFonts w:hint="eastAsia" w:cs="Times New Roman"/>
          <w:sz w:val="20"/>
          <w:szCs w:val="20"/>
          <w:lang w:val="en-US" w:eastAsia="zh-CN"/>
        </w:rPr>
        <w:t xml:space="preserve"> </w:t>
      </w:r>
      <w:bookmarkEnd w:id="10"/>
      <w:bookmarkEnd w:id="13"/>
    </w:p>
    <w:bookmarkEnd w:id="8"/>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cs="Times New Roman"/>
          <w:sz w:val="20"/>
          <w:szCs w:val="20"/>
          <w:lang w:val="en-US" w:eastAsia="zh-CN"/>
        </w:rPr>
      </w:pPr>
      <w:bookmarkStart w:id="14" w:name="OLE_LINK23"/>
      <w:bookmarkStart w:id="15" w:name="OLE_LINK66"/>
      <w:bookmarkStart w:id="16" w:name="OLE_LINK28"/>
      <w:r>
        <w:rPr>
          <w:rFonts w:hint="eastAsia"/>
          <w:b w:val="0"/>
          <w:bCs w:val="0"/>
          <w:i w:val="0"/>
          <w:iCs w:val="0"/>
          <w:sz w:val="20"/>
          <w:szCs w:val="20"/>
          <w:highlight w:val="none"/>
          <w:lang w:val="en-US" w:eastAsia="zh-CN"/>
        </w:rPr>
        <w:t xml:space="preserve">In terms of the discussion in last meeting, some companies including operator think there is no need to consider intra-band </w:t>
      </w:r>
      <w:r>
        <w:rPr>
          <w:rFonts w:hint="eastAsia" w:cs="Times New Roman"/>
          <w:sz w:val="20"/>
          <w:szCs w:val="20"/>
          <w:lang w:val="en-US" w:eastAsia="zh-CN"/>
        </w:rPr>
        <w:t>non-contiguous allocation MSD test point, but some other companies hold the contrary view.</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cs="Times New Roman"/>
          <w:sz w:val="20"/>
          <w:szCs w:val="20"/>
          <w:lang w:val="en-US" w:eastAsia="zh-CN"/>
        </w:rPr>
      </w:pPr>
      <w:r>
        <w:rPr>
          <w:rFonts w:hint="eastAsia" w:cs="Times New Roman"/>
          <w:sz w:val="20"/>
          <w:szCs w:val="20"/>
          <w:lang w:val="en-US" w:eastAsia="zh-CN"/>
        </w:rPr>
        <w:t>The main reason for not considering th</w:t>
      </w:r>
      <w:r>
        <w:rPr>
          <w:rFonts w:hint="eastAsia"/>
          <w:b w:val="0"/>
          <w:bCs w:val="0"/>
          <w:i w:val="0"/>
          <w:iCs w:val="0"/>
          <w:sz w:val="20"/>
          <w:szCs w:val="20"/>
          <w:highlight w:val="none"/>
          <w:lang w:val="en-US" w:eastAsia="zh-CN"/>
        </w:rPr>
        <w:t>e intra-band non-contiguous allocation such as 1RB+1RB MSD test point is that from the network scheduling point of view a network will not schedule another carrier and configure UL intra-band CA if one carrier is not fully utilized since it would impact the</w:t>
      </w:r>
      <w:r>
        <w:rPr>
          <w:rFonts w:ascii="Times New Roman" w:hAnsi="Times New Roman"/>
          <w:sz w:val="20"/>
          <w:szCs w:val="20"/>
        </w:rPr>
        <w:t xml:space="preserve"> UL throughput</w:t>
      </w:r>
      <w:r>
        <w:rPr>
          <w:rFonts w:hint="eastAsia"/>
          <w:sz w:val="20"/>
          <w:szCs w:val="20"/>
          <w:lang w:val="en-US" w:eastAsia="zh-CN"/>
        </w:rPr>
        <w:t xml:space="preserve"> [5]. In the other words, </w:t>
      </w:r>
      <w:r>
        <w:rPr>
          <w:rFonts w:hint="eastAsia" w:cs="Times New Roman"/>
          <w:sz w:val="20"/>
          <w:szCs w:val="20"/>
          <w:lang w:val="en-US" w:eastAsia="zh-CN"/>
        </w:rPr>
        <w:t xml:space="preserve">the non-contiguous allocation MSD test point would not be not a popular scenario in the filed, even it </w:t>
      </w:r>
      <w:r>
        <w:rPr>
          <w:rFonts w:ascii="Times New Roman" w:hAnsi="Times New Roman"/>
          <w:sz w:val="20"/>
          <w:szCs w:val="20"/>
        </w:rPr>
        <w:t>doesn't occur in operators’ networks.</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Arial"/>
          <w:sz w:val="20"/>
          <w:szCs w:val="20"/>
          <w:lang w:val="en-US" w:eastAsia="zh-CN"/>
        </w:rPr>
      </w:pPr>
      <w:r>
        <w:rPr>
          <w:rFonts w:hint="eastAsia" w:cs="Times New Roman"/>
          <w:sz w:val="20"/>
          <w:szCs w:val="20"/>
          <w:lang w:val="en-US" w:eastAsia="zh-CN"/>
        </w:rPr>
        <w:t xml:space="preserve">In [3], the background for the </w:t>
      </w:r>
      <w:r>
        <w:rPr>
          <w:rFonts w:eastAsia="Arial"/>
          <w:sz w:val="20"/>
          <w:szCs w:val="20"/>
          <w:lang w:eastAsia="zh-CN"/>
        </w:rPr>
        <w:t>specification framework was established in Release 17 for intra-band ULCA for a TDD band and in the late part of Release 18 for the intra-band ULCA for FDD bands</w:t>
      </w:r>
      <w:r>
        <w:rPr>
          <w:rFonts w:hint="eastAsia" w:eastAsia="Arial"/>
          <w:sz w:val="20"/>
          <w:szCs w:val="20"/>
          <w:lang w:val="en-US" w:eastAsia="zh-CN"/>
        </w:rPr>
        <w:t xml:space="preserve"> are given, where:</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Arial"/>
          <w:sz w:val="20"/>
          <w:szCs w:val="20"/>
          <w:lang w:val="en-US" w:eastAsia="zh-CN"/>
        </w:rPr>
      </w:pPr>
      <w:r>
        <w:rPr>
          <w:rFonts w:hint="eastAsia" w:eastAsia="Arial"/>
          <w:sz w:val="20"/>
          <w:szCs w:val="20"/>
          <w:lang w:val="en-US" w:eastAsia="zh-CN"/>
        </w:rPr>
        <w:t xml:space="preserve">1: For a TDD band is operated as </w:t>
      </w:r>
      <w:r>
        <w:rPr>
          <w:rFonts w:eastAsia="Arial"/>
          <w:sz w:val="20"/>
          <w:szCs w:val="20"/>
          <w:lang w:eastAsia="zh-CN"/>
        </w:rPr>
        <w:t>intra-band contiguous or non-contiguous ULCA</w:t>
      </w:r>
      <w:r>
        <w:rPr>
          <w:rFonts w:hint="eastAsia" w:eastAsia="Arial"/>
          <w:sz w:val="20"/>
          <w:szCs w:val="20"/>
          <w:lang w:val="en-US" w:eastAsia="zh-CN"/>
        </w:rPr>
        <w:t>,1RB+1RB allocation is used in the MSD test point assuming MPR requirement is applied to meet the emissions;</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eastAsia="Arial"/>
          <w:sz w:val="20"/>
          <w:szCs w:val="20"/>
          <w:lang w:val="en-US" w:eastAsia="zh-CN"/>
        </w:rPr>
      </w:pPr>
      <w:r>
        <w:rPr>
          <w:rFonts w:hint="eastAsia" w:eastAsia="Arial"/>
          <w:sz w:val="20"/>
          <w:szCs w:val="20"/>
          <w:lang w:val="en-US" w:eastAsia="zh-CN"/>
        </w:rPr>
        <w:t xml:space="preserve">2: For a FDD band is operated as </w:t>
      </w:r>
      <w:r>
        <w:rPr>
          <w:rFonts w:eastAsia="Arial"/>
          <w:sz w:val="20"/>
          <w:szCs w:val="20"/>
          <w:lang w:eastAsia="zh-CN"/>
        </w:rPr>
        <w:t>intra-band contiguous or non-contiguous ULCA</w:t>
      </w:r>
      <w:r>
        <w:rPr>
          <w:rFonts w:hint="eastAsia" w:eastAsia="Arial"/>
          <w:sz w:val="20"/>
          <w:szCs w:val="20"/>
          <w:lang w:val="en-US" w:eastAsia="zh-CN"/>
        </w:rPr>
        <w:t xml:space="preserve">, RBs </w:t>
      </w:r>
      <w:r>
        <w:rPr>
          <w:rFonts w:eastAsia="Arial"/>
          <w:sz w:val="20"/>
          <w:szCs w:val="20"/>
          <w:lang w:eastAsia="zh-CN"/>
        </w:rPr>
        <w:t>equal to the equivalent BW REFSENS UL configuration is used</w:t>
      </w:r>
      <w:r>
        <w:rPr>
          <w:rFonts w:hint="eastAsia" w:eastAsia="Arial"/>
          <w:sz w:val="20"/>
          <w:szCs w:val="20"/>
          <w:lang w:val="en-US" w:eastAsia="zh-CN"/>
        </w:rPr>
        <w:t xml:space="preserve"> </w:t>
      </w:r>
      <w:r>
        <w:rPr>
          <w:rFonts w:eastAsia="Arial"/>
          <w:sz w:val="20"/>
          <w:szCs w:val="20"/>
          <w:lang w:eastAsia="zh-CN"/>
        </w:rPr>
        <w:t>assum</w:t>
      </w:r>
      <w:r>
        <w:rPr>
          <w:rFonts w:hint="eastAsia" w:eastAsia="Arial"/>
          <w:sz w:val="20"/>
          <w:szCs w:val="20"/>
          <w:lang w:val="en-US" w:eastAsia="zh-CN"/>
        </w:rPr>
        <w:t>ing</w:t>
      </w:r>
      <w:r>
        <w:rPr>
          <w:rFonts w:eastAsia="Arial"/>
          <w:sz w:val="20"/>
          <w:szCs w:val="20"/>
          <w:lang w:eastAsia="zh-CN"/>
        </w:rPr>
        <w:t xml:space="preserve"> that the UE is at PCmax</w:t>
      </w:r>
      <w:r>
        <w:rPr>
          <w:rFonts w:hint="eastAsia" w:eastAsia="Arial"/>
          <w:sz w:val="20"/>
          <w:szCs w:val="20"/>
          <w:lang w:val="en-US" w:eastAsia="zh-CN"/>
        </w:rPr>
        <w:t xml:space="preserve"> and </w:t>
      </w:r>
      <w:r>
        <w:rPr>
          <w:rFonts w:eastAsia="Arial"/>
          <w:sz w:val="20"/>
          <w:szCs w:val="20"/>
          <w:lang w:eastAsia="zh-CN"/>
        </w:rPr>
        <w:t>shared with equal PSD amongst the two carriers.</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eastAsia="Arial"/>
          <w:lang w:val="en-US" w:eastAsia="zh-CN"/>
        </w:rPr>
      </w:pPr>
      <w:r>
        <w:rPr>
          <w:rFonts w:hint="eastAsia" w:eastAsia="Arial"/>
          <w:lang w:val="en-US" w:eastAsia="zh-CN"/>
        </w:rPr>
        <w:t>Consequently, the 1RB+1RB allocation MSD test point is only used in the TDD band as intra-band UL CA, and several RB+RB allocation MSD test point is only used in the FDD band as intra-band UL CA.</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GB" w:eastAsia="en-US"/>
        </w:rPr>
      </w:pPr>
      <w:r>
        <w:rPr>
          <w:rFonts w:hint="eastAsia"/>
          <w:b w:val="0"/>
          <w:bCs w:val="0"/>
          <w:i w:val="0"/>
          <w:iCs w:val="0"/>
          <w:sz w:val="20"/>
          <w:szCs w:val="20"/>
          <w:highlight w:val="none"/>
          <w:lang w:val="en-US" w:eastAsia="zh-CN"/>
        </w:rPr>
        <w:t>In our view, it is debatable whether the scenario small RB configuration in each CC (even 1RB in each CC) in intra-band contiguous CA is meaningful in the filed. Nevertheless, out initial idea is to define MSD for practical scenarios in the spec, so we slight prefer not to consider the MSD for i</w:t>
      </w:r>
      <w:r>
        <w:rPr>
          <w:rFonts w:hint="eastAsia"/>
          <w:b w:val="0"/>
          <w:bCs w:val="0"/>
          <w:i w:val="0"/>
          <w:iCs w:val="0"/>
          <w:sz w:val="20"/>
          <w:szCs w:val="20"/>
          <w:highlight w:val="none"/>
          <w:lang w:val="en-GB" w:eastAsia="en-US"/>
        </w:rPr>
        <w:t>ntra-band contiguous UL CA configured with non-contiguous allocations.</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Arial"/>
          <w:sz w:val="20"/>
          <w:szCs w:val="20"/>
          <w:lang w:val="en-US" w:eastAsia="zh-CN"/>
        </w:rPr>
      </w:pPr>
      <w:r>
        <w:rPr>
          <w:rFonts w:hint="eastAsia" w:eastAsia="Arial"/>
          <w:sz w:val="20"/>
          <w:szCs w:val="20"/>
          <w:lang w:val="en-US" w:eastAsia="zh-CN"/>
        </w:rPr>
        <w:t>Actually, this issue was somehow triggered by CA_n41C-n79A due to &gt;55dB MSD is foreseen without MPR, and ~43dB MSD with MPR assumption, where such high MSD value cause deployment concerns although it is not the first combination whose MSD value is more than 45dB. Therefore, we also prefer to re-consider 1RB+1RB allocations, and it should only be for intra-band TDD UL CA only.</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宋体"/>
          <w:b/>
          <w:bCs/>
          <w:i/>
          <w:iCs/>
          <w:sz w:val="20"/>
          <w:highlight w:val="none"/>
          <w:lang w:val="en-US" w:eastAsia="zh-CN"/>
        </w:rPr>
      </w:pPr>
      <w:r>
        <w:rPr>
          <w:rFonts w:hint="default" w:eastAsia="宋体"/>
          <w:b/>
          <w:bCs/>
          <w:i/>
          <w:iCs/>
          <w:sz w:val="20"/>
          <w:highlight w:val="none"/>
          <w:lang w:val="en-US" w:eastAsia="zh-CN"/>
        </w:rPr>
        <w:t>Proposal</w:t>
      </w:r>
      <w:r>
        <w:rPr>
          <w:rFonts w:hint="eastAsia" w:eastAsia="宋体"/>
          <w:b/>
          <w:bCs/>
          <w:i/>
          <w:iCs/>
          <w:sz w:val="20"/>
          <w:highlight w:val="none"/>
          <w:lang w:val="en-US" w:eastAsia="zh-CN"/>
        </w:rPr>
        <w:t xml:space="preserve"> 1</w:t>
      </w:r>
      <w:r>
        <w:rPr>
          <w:rFonts w:hint="default" w:eastAsia="宋体"/>
          <w:b/>
          <w:bCs/>
          <w:i/>
          <w:iCs/>
          <w:sz w:val="20"/>
          <w:highlight w:val="none"/>
          <w:lang w:val="en-US" w:eastAsia="zh-CN"/>
        </w:rPr>
        <w:t xml:space="preserve">: </w:t>
      </w:r>
      <w:r>
        <w:rPr>
          <w:rFonts w:hint="eastAsia" w:eastAsia="宋体"/>
          <w:b/>
          <w:bCs/>
          <w:i/>
          <w:iCs/>
          <w:sz w:val="20"/>
          <w:highlight w:val="none"/>
          <w:lang w:val="en-US" w:eastAsia="zh-CN"/>
        </w:rPr>
        <w:t>R</w:t>
      </w:r>
      <w:r>
        <w:rPr>
          <w:rFonts w:hint="eastAsia" w:eastAsia="宋体"/>
          <w:b/>
          <w:bCs/>
          <w:i/>
          <w:iCs/>
          <w:sz w:val="20"/>
          <w:highlight w:val="none"/>
          <w:lang w:eastAsia="zh-CN"/>
        </w:rPr>
        <w:t>e-considered</w:t>
      </w:r>
      <w:r>
        <w:rPr>
          <w:rFonts w:hint="eastAsia" w:eastAsia="宋体"/>
          <w:b/>
          <w:bCs/>
          <w:i/>
          <w:iCs/>
          <w:sz w:val="20"/>
          <w:highlight w:val="none"/>
          <w:lang w:val="en-US" w:eastAsia="zh-CN"/>
        </w:rPr>
        <w:t xml:space="preserve"> </w:t>
      </w:r>
      <w:r>
        <w:rPr>
          <w:rFonts w:hint="eastAsia" w:eastAsia="宋体"/>
          <w:b/>
          <w:bCs/>
          <w:i/>
          <w:iCs/>
          <w:sz w:val="20"/>
          <w:highlight w:val="none"/>
          <w:lang w:eastAsia="zh-CN"/>
        </w:rPr>
        <w:t>1RB+1RB</w:t>
      </w:r>
      <w:r>
        <w:rPr>
          <w:rFonts w:hint="eastAsia" w:eastAsia="宋体"/>
          <w:b/>
          <w:bCs/>
          <w:i/>
          <w:iCs/>
          <w:sz w:val="20"/>
          <w:highlight w:val="none"/>
          <w:lang w:val="en-US" w:eastAsia="zh-CN"/>
        </w:rPr>
        <w:t xml:space="preserve"> </w:t>
      </w:r>
      <w:r>
        <w:rPr>
          <w:rFonts w:hint="eastAsia" w:eastAsia="宋体"/>
          <w:b/>
          <w:bCs/>
          <w:i/>
          <w:iCs/>
          <w:sz w:val="20"/>
          <w:highlight w:val="none"/>
          <w:lang w:eastAsia="zh-CN"/>
        </w:rPr>
        <w:t xml:space="preserve">RB allocation for intra-band </w:t>
      </w:r>
      <w:r>
        <w:rPr>
          <w:rFonts w:hint="eastAsia" w:eastAsia="宋体"/>
          <w:b/>
          <w:bCs/>
          <w:i/>
          <w:iCs/>
          <w:sz w:val="20"/>
          <w:highlight w:val="none"/>
          <w:lang w:val="en-US" w:eastAsia="zh-CN"/>
        </w:rPr>
        <w:t xml:space="preserve">TDD </w:t>
      </w:r>
      <w:r>
        <w:rPr>
          <w:rFonts w:hint="eastAsia" w:eastAsia="宋体"/>
          <w:b/>
          <w:bCs/>
          <w:i/>
          <w:iCs/>
          <w:sz w:val="20"/>
          <w:highlight w:val="none"/>
          <w:lang w:eastAsia="zh-CN"/>
        </w:rPr>
        <w:t>ULCA within an inter-band DL CA</w:t>
      </w:r>
      <w:r>
        <w:rPr>
          <w:rFonts w:hint="eastAsia" w:eastAsia="宋体"/>
          <w:b/>
          <w:bCs/>
          <w:i/>
          <w:iCs/>
          <w:sz w:val="20"/>
          <w:highlight w:val="none"/>
          <w:lang w:val="en-US" w:eastAsia="zh-CN"/>
        </w:rPr>
        <w:t>.</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For the guidelines in </w:t>
      </w:r>
      <w:r>
        <w:rPr>
          <w:rFonts w:hint="eastAsia"/>
          <w:b w:val="0"/>
          <w:bCs w:val="0"/>
          <w:i w:val="0"/>
          <w:iCs w:val="0"/>
          <w:sz w:val="20"/>
          <w:szCs w:val="20"/>
          <w:highlight w:val="none"/>
          <w:lang w:val="en-GB" w:eastAsia="en-US"/>
        </w:rPr>
        <w:t>TR 38.862 guidelines</w:t>
      </w:r>
      <w:r>
        <w:rPr>
          <w:rFonts w:hint="eastAsia"/>
          <w:b w:val="0"/>
          <w:bCs w:val="0"/>
          <w:i w:val="0"/>
          <w:iCs w:val="0"/>
          <w:sz w:val="20"/>
          <w:szCs w:val="20"/>
          <w:highlight w:val="none"/>
          <w:lang w:val="en-US" w:eastAsia="zh-CN"/>
        </w:rPr>
        <w:t xml:space="preserve">, we think the existing guidelines in the TR are still valid since all of the guidelines are developed during R18 time phase, and due to there are no R19 </w:t>
      </w:r>
      <w:r>
        <w:rPr>
          <w:rFonts w:hint="eastAsia"/>
          <w:b w:val="0"/>
          <w:bCs w:val="0"/>
          <w:i w:val="0"/>
          <w:iCs w:val="0"/>
          <w:sz w:val="20"/>
          <w:szCs w:val="20"/>
          <w:highlight w:val="none"/>
          <w:lang w:val="en-US" w:eastAsia="ja-JP"/>
        </w:rPr>
        <w:t>FS_SimBC</w:t>
      </w:r>
      <w:r>
        <w:rPr>
          <w:rFonts w:hint="eastAsia"/>
          <w:b w:val="0"/>
          <w:bCs w:val="0"/>
          <w:i w:val="0"/>
          <w:iCs w:val="0"/>
          <w:sz w:val="20"/>
          <w:szCs w:val="20"/>
          <w:highlight w:val="none"/>
          <w:lang w:val="en-US" w:eastAsia="zh-CN"/>
        </w:rPr>
        <w:t xml:space="preserve"> SID so far, if there are updates for the existing guidelines during R19, then the updated guidelines should be applied for the new introduced R19 band combination. In the other words, no CR to TR</w:t>
      </w:r>
      <w:r>
        <w:rPr>
          <w:rFonts w:hint="eastAsia"/>
          <w:b w:val="0"/>
          <w:bCs w:val="0"/>
          <w:i w:val="0"/>
          <w:iCs w:val="0"/>
          <w:sz w:val="20"/>
          <w:szCs w:val="20"/>
          <w:highlight w:val="none"/>
          <w:lang w:val="en-GB" w:eastAsia="en-US"/>
        </w:rPr>
        <w:t>38.862</w:t>
      </w:r>
      <w:r>
        <w:rPr>
          <w:rFonts w:hint="eastAsia"/>
          <w:b w:val="0"/>
          <w:bCs w:val="0"/>
          <w:i w:val="0"/>
          <w:iCs w:val="0"/>
          <w:sz w:val="20"/>
          <w:szCs w:val="20"/>
          <w:highlight w:val="none"/>
          <w:lang w:val="en-US" w:eastAsia="zh-CN"/>
        </w:rPr>
        <w:t xml:space="preserve"> in R19.</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Proposal 2: if there are updates for the existing guidelines, they should be captured in the WF and applied for the new introduced R19 band combination.</w:t>
      </w:r>
    </w:p>
    <w:p>
      <w:pPr>
        <w:keepNext w:val="0"/>
        <w:keepLines/>
        <w:pageBreakBefore w:val="0"/>
        <w:widowControl/>
        <w:numPr>
          <w:ilvl w:val="-1"/>
          <w:numId w:val="0"/>
        </w:numPr>
        <w:suppressLineNumbers w:val="0"/>
        <w:kinsoku/>
        <w:wordWrap/>
        <w:overflowPunct/>
        <w:topLinePunct w:val="0"/>
        <w:autoSpaceDE/>
        <w:autoSpaceDN/>
        <w:bidi w:val="0"/>
        <w:adjustRightInd/>
        <w:spacing w:before="0" w:beforeLines="-2147483648" w:afterLines="-2147483648" w:line="240" w:lineRule="auto"/>
        <w:jc w:val="both"/>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Regarding the </w:t>
      </w:r>
      <w:r>
        <w:rPr>
          <w:rFonts w:hint="eastAsia"/>
          <w:b w:val="0"/>
          <w:bCs w:val="0"/>
          <w:i w:val="0"/>
          <w:iCs w:val="0"/>
          <w:sz w:val="20"/>
          <w:szCs w:val="20"/>
          <w:highlight w:val="none"/>
          <w:lang w:val="en-GB" w:eastAsia="en-US"/>
        </w:rPr>
        <w:t>cross-band MSD requirements resulting from intra-band contiguous UL CA configured with fully allocated maximum aggregated BW</w:t>
      </w:r>
      <w:r>
        <w:rPr>
          <w:rFonts w:hint="eastAsia"/>
          <w:b w:val="0"/>
          <w:bCs w:val="0"/>
          <w:i w:val="0"/>
          <w:iCs w:val="0"/>
          <w:sz w:val="20"/>
          <w:szCs w:val="20"/>
          <w:highlight w:val="none"/>
          <w:lang w:val="en-US" w:eastAsia="zh-CN"/>
        </w:rPr>
        <w:t xml:space="preserve">, it is a new type of MSD and RAN4 never consider it in the past although there are several inter-band UL CA including intra-band CA configurations in the spec. </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宋体"/>
          <w:b/>
          <w:bCs/>
          <w:i/>
          <w:iCs/>
          <w:sz w:val="20"/>
          <w:szCs w:val="20"/>
          <w:highlight w:val="none"/>
          <w:lang w:val="en-US" w:eastAsia="zh-CN"/>
        </w:rPr>
      </w:pPr>
      <w:r>
        <w:rPr>
          <w:rFonts w:hint="eastAsia"/>
          <w:b/>
          <w:bCs/>
          <w:i/>
          <w:iCs/>
          <w:sz w:val="20"/>
          <w:szCs w:val="20"/>
          <w:highlight w:val="none"/>
          <w:lang w:val="en-US" w:eastAsia="zh-CN"/>
        </w:rPr>
        <w:t>Observation: In current spec, there are no cross band isolation MSD defined for</w:t>
      </w:r>
      <w:r>
        <w:rPr>
          <w:rFonts w:hint="eastAsia"/>
          <w:b/>
          <w:bCs/>
          <w:i/>
          <w:iCs/>
          <w:sz w:val="20"/>
          <w:szCs w:val="20"/>
          <w:highlight w:val="none"/>
          <w:lang w:val="en-GB" w:eastAsia="en-US"/>
        </w:rPr>
        <w:t xml:space="preserve"> intra-band contiguous UL CA configured with fully allocated maximum aggregated BW</w:t>
      </w:r>
      <w:r>
        <w:rPr>
          <w:rFonts w:hint="eastAsia"/>
          <w:b/>
          <w:bCs/>
          <w:i/>
          <w:iCs/>
          <w:sz w:val="20"/>
          <w:szCs w:val="20"/>
          <w:highlight w:val="none"/>
          <w:lang w:val="en-US" w:eastAsia="zh-CN"/>
        </w:rPr>
        <w:t>.</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US" w:eastAsia="zh-CN"/>
        </w:rPr>
      </w:pPr>
      <w:bookmarkStart w:id="17" w:name="OLE_LINK30"/>
      <w:r>
        <w:rPr>
          <w:rFonts w:hint="eastAsia"/>
          <w:b w:val="0"/>
          <w:bCs w:val="0"/>
          <w:i w:val="0"/>
          <w:iCs w:val="0"/>
          <w:sz w:val="20"/>
          <w:szCs w:val="20"/>
          <w:highlight w:val="none"/>
          <w:lang w:val="en-US" w:eastAsia="zh-CN"/>
        </w:rPr>
        <w:t>As we discussed in [7], fully allocated maximum aggregated BW is a meaningful scenario in the field for one band supports intra-band UL CA, we think there might be needed define the MSD</w:t>
      </w:r>
      <w:bookmarkEnd w:id="17"/>
      <w:r>
        <w:rPr>
          <w:rFonts w:hint="eastAsia"/>
          <w:b w:val="0"/>
          <w:bCs w:val="0"/>
          <w:i w:val="0"/>
          <w:iCs w:val="0"/>
          <w:sz w:val="20"/>
          <w:szCs w:val="20"/>
          <w:highlight w:val="none"/>
          <w:lang w:val="en-US" w:eastAsia="zh-CN"/>
        </w:rPr>
        <w:t xml:space="preserve"> since the ACLR region caused by intra-band contiguous CA (</w:t>
      </w:r>
      <w:r>
        <w:rPr>
          <w:rFonts w:hint="eastAsia"/>
          <w:b w:val="0"/>
          <w:bCs w:val="0"/>
          <w:i w:val="0"/>
          <w:iCs w:val="0"/>
          <w:sz w:val="20"/>
          <w:szCs w:val="20"/>
          <w:highlight w:val="none"/>
          <w:lang w:val="en-GB" w:eastAsia="en-US"/>
        </w:rPr>
        <w:t>maximum aggregated BW</w:t>
      </w:r>
      <w:r>
        <w:rPr>
          <w:rFonts w:hint="eastAsia"/>
          <w:b w:val="0"/>
          <w:bCs w:val="0"/>
          <w:i w:val="0"/>
          <w:iCs w:val="0"/>
          <w:sz w:val="20"/>
          <w:szCs w:val="20"/>
          <w:highlight w:val="none"/>
          <w:lang w:val="en-US" w:eastAsia="zh-CN"/>
        </w:rPr>
        <w:t xml:space="preserve">) is larger than single carrier, </w:t>
      </w:r>
      <w:bookmarkStart w:id="18" w:name="OLE_LINK24"/>
      <w:bookmarkStart w:id="19" w:name="OLE_LINK26"/>
      <w:r>
        <w:rPr>
          <w:rFonts w:hint="eastAsia"/>
          <w:b w:val="0"/>
          <w:bCs w:val="0"/>
          <w:i w:val="0"/>
          <w:iCs w:val="0"/>
          <w:sz w:val="20"/>
          <w:szCs w:val="20"/>
          <w:highlight w:val="none"/>
          <w:lang w:val="en-US" w:eastAsia="zh-CN"/>
        </w:rPr>
        <w:t>the ACLR region does not overlap with victim DL for single carrier</w:t>
      </w:r>
      <w:bookmarkEnd w:id="18"/>
      <w:r>
        <w:rPr>
          <w:rFonts w:hint="eastAsia"/>
          <w:b w:val="0"/>
          <w:bCs w:val="0"/>
          <w:i w:val="0"/>
          <w:iCs w:val="0"/>
          <w:sz w:val="20"/>
          <w:szCs w:val="20"/>
          <w:highlight w:val="none"/>
          <w:lang w:val="en-US" w:eastAsia="zh-CN"/>
        </w:rPr>
        <w:t xml:space="preserve"> does not imply the ACLR region will not overlap with victim DL for intra-band contiguous CA</w:t>
      </w:r>
      <w:bookmarkEnd w:id="19"/>
      <w:r>
        <w:rPr>
          <w:rFonts w:hint="eastAsia"/>
          <w:b w:val="0"/>
          <w:bCs w:val="0"/>
          <w:i w:val="0"/>
          <w:iCs w:val="0"/>
          <w:sz w:val="20"/>
          <w:szCs w:val="20"/>
          <w:highlight w:val="none"/>
          <w:lang w:val="en-US" w:eastAsia="zh-CN"/>
        </w:rPr>
        <w:t xml:space="preserve">. </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xml:space="preserve">Proposal 3: If the </w:t>
      </w:r>
      <w:r>
        <w:rPr>
          <w:rFonts w:hint="eastAsia"/>
          <w:b/>
          <w:bCs/>
          <w:i/>
          <w:iCs/>
          <w:sz w:val="20"/>
          <w:szCs w:val="20"/>
          <w:highlight w:val="none"/>
          <w:lang w:val="en-GB" w:eastAsia="en-US"/>
        </w:rPr>
        <w:t>cross-band MSD requirements resulting from intra-band contiguous UL CA configured with fully allocated maximum aggregated BW</w:t>
      </w:r>
      <w:r>
        <w:rPr>
          <w:rFonts w:hint="eastAsia"/>
          <w:b/>
          <w:bCs/>
          <w:i/>
          <w:iCs/>
          <w:sz w:val="20"/>
          <w:szCs w:val="20"/>
          <w:highlight w:val="none"/>
          <w:lang w:val="en-US" w:eastAsia="zh-CN"/>
        </w:rPr>
        <w:t xml:space="preserve"> is considered to be defined:</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Only to define new cross band isolation MSD for ACLR1/ACLR2 interference source</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To reuse cross band isolation MSD of single carrier for &gt;ACLR2 interference source</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Moreover, if possible, guideline should be developped to avoid new calculation/evaluation efforts, such as scaling with the RB BW, or +x dB on top of the MSD of single carrier, or others.</w:t>
      </w:r>
    </w:p>
    <w:bookmarkEnd w:id="14"/>
    <w:bookmarkEnd w:id="15"/>
    <w:bookmarkEnd w:id="16"/>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we give some discussions on</w:t>
      </w:r>
      <w:r>
        <w:rPr>
          <w:rFonts w:hint="eastAsia" w:cs="Times New Roman"/>
          <w:sz w:val="20"/>
          <w:szCs w:val="20"/>
          <w:lang w:val="en-US" w:eastAsia="zh-CN"/>
        </w:rPr>
        <w:t xml:space="preserve"> the MSD requirements with intra-band contiguous UL CA.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宋体"/>
          <w:b/>
          <w:bCs/>
          <w:i/>
          <w:iCs/>
          <w:sz w:val="20"/>
          <w:highlight w:val="none"/>
          <w:lang w:val="en-US" w:eastAsia="zh-CN"/>
        </w:rPr>
      </w:pPr>
      <w:r>
        <w:rPr>
          <w:rFonts w:hint="default" w:eastAsia="宋体"/>
          <w:b/>
          <w:bCs/>
          <w:i/>
          <w:iCs/>
          <w:sz w:val="20"/>
          <w:highlight w:val="none"/>
          <w:lang w:val="en-US" w:eastAsia="zh-CN"/>
        </w:rPr>
        <w:t>Proposal</w:t>
      </w:r>
      <w:r>
        <w:rPr>
          <w:rFonts w:hint="eastAsia" w:eastAsia="宋体"/>
          <w:b/>
          <w:bCs/>
          <w:i/>
          <w:iCs/>
          <w:sz w:val="20"/>
          <w:highlight w:val="none"/>
          <w:lang w:val="en-US" w:eastAsia="zh-CN"/>
        </w:rPr>
        <w:t xml:space="preserve"> 1</w:t>
      </w:r>
      <w:r>
        <w:rPr>
          <w:rFonts w:hint="default" w:eastAsia="宋体"/>
          <w:b/>
          <w:bCs/>
          <w:i/>
          <w:iCs/>
          <w:sz w:val="20"/>
          <w:highlight w:val="none"/>
          <w:lang w:val="en-US" w:eastAsia="zh-CN"/>
        </w:rPr>
        <w:t xml:space="preserve">: </w:t>
      </w:r>
      <w:r>
        <w:rPr>
          <w:rFonts w:hint="eastAsia" w:eastAsia="宋体"/>
          <w:b/>
          <w:bCs/>
          <w:i/>
          <w:iCs/>
          <w:sz w:val="20"/>
          <w:highlight w:val="none"/>
          <w:lang w:val="en-US" w:eastAsia="zh-CN"/>
        </w:rPr>
        <w:t>R</w:t>
      </w:r>
      <w:r>
        <w:rPr>
          <w:rFonts w:hint="eastAsia" w:eastAsia="宋体"/>
          <w:b/>
          <w:bCs/>
          <w:i/>
          <w:iCs/>
          <w:sz w:val="20"/>
          <w:highlight w:val="none"/>
          <w:lang w:eastAsia="zh-CN"/>
        </w:rPr>
        <w:t>e-considered</w:t>
      </w:r>
      <w:r>
        <w:rPr>
          <w:rFonts w:hint="eastAsia" w:eastAsia="宋体"/>
          <w:b/>
          <w:bCs/>
          <w:i/>
          <w:iCs/>
          <w:sz w:val="20"/>
          <w:highlight w:val="none"/>
          <w:lang w:val="en-US" w:eastAsia="zh-CN"/>
        </w:rPr>
        <w:t xml:space="preserve"> </w:t>
      </w:r>
      <w:r>
        <w:rPr>
          <w:rFonts w:hint="eastAsia" w:eastAsia="宋体"/>
          <w:b/>
          <w:bCs/>
          <w:i/>
          <w:iCs/>
          <w:sz w:val="20"/>
          <w:highlight w:val="none"/>
          <w:lang w:eastAsia="zh-CN"/>
        </w:rPr>
        <w:t>1RB+1RB</w:t>
      </w:r>
      <w:r>
        <w:rPr>
          <w:rFonts w:hint="eastAsia" w:eastAsia="宋体"/>
          <w:b/>
          <w:bCs/>
          <w:i/>
          <w:iCs/>
          <w:sz w:val="20"/>
          <w:highlight w:val="none"/>
          <w:lang w:val="en-US" w:eastAsia="zh-CN"/>
        </w:rPr>
        <w:t xml:space="preserve"> </w:t>
      </w:r>
      <w:r>
        <w:rPr>
          <w:rFonts w:hint="eastAsia" w:eastAsia="宋体"/>
          <w:b/>
          <w:bCs/>
          <w:i/>
          <w:iCs/>
          <w:sz w:val="20"/>
          <w:highlight w:val="none"/>
          <w:lang w:eastAsia="zh-CN"/>
        </w:rPr>
        <w:t xml:space="preserve">RB allocation for intra-band </w:t>
      </w:r>
      <w:r>
        <w:rPr>
          <w:rFonts w:hint="eastAsia" w:eastAsia="宋体"/>
          <w:b/>
          <w:bCs/>
          <w:i/>
          <w:iCs/>
          <w:sz w:val="20"/>
          <w:highlight w:val="none"/>
          <w:lang w:val="en-US" w:eastAsia="zh-CN"/>
        </w:rPr>
        <w:t xml:space="preserve">TDD </w:t>
      </w:r>
      <w:r>
        <w:rPr>
          <w:rFonts w:hint="eastAsia" w:eastAsia="宋体"/>
          <w:b/>
          <w:bCs/>
          <w:i/>
          <w:iCs/>
          <w:sz w:val="20"/>
          <w:highlight w:val="none"/>
          <w:lang w:eastAsia="zh-CN"/>
        </w:rPr>
        <w:t>ULCA within an inter-band DL CA</w:t>
      </w:r>
      <w:r>
        <w:rPr>
          <w:rFonts w:hint="eastAsia" w:eastAsia="宋体"/>
          <w:b/>
          <w:bCs/>
          <w:i/>
          <w:iCs/>
          <w:sz w:val="20"/>
          <w:highlight w:val="none"/>
          <w:lang w:val="en-US" w:eastAsia="zh-CN"/>
        </w:rPr>
        <w:t>.</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Proposal 2: if there are updates for the existing guidelines, they should be captured in the WF and applied for the new introduced R19 band combination.</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Observation: In current spec, there are no cross band isolation MSD defined for</w:t>
      </w:r>
      <w:r>
        <w:rPr>
          <w:rFonts w:hint="eastAsia"/>
          <w:b/>
          <w:bCs/>
          <w:i/>
          <w:iCs/>
          <w:sz w:val="20"/>
          <w:szCs w:val="20"/>
          <w:highlight w:val="none"/>
          <w:lang w:val="en-GB" w:eastAsia="en-US"/>
        </w:rPr>
        <w:t xml:space="preserve"> intra-band contiguous UL CA configured with fully allocated maximum aggregated BW</w:t>
      </w:r>
      <w:r>
        <w:rPr>
          <w:rFonts w:hint="eastAsia"/>
          <w:b/>
          <w:bCs/>
          <w:i/>
          <w:iCs/>
          <w:sz w:val="20"/>
          <w:szCs w:val="20"/>
          <w:highlight w:val="none"/>
          <w:lang w:val="en-US" w:eastAsia="zh-CN"/>
        </w:rPr>
        <w:t>.</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xml:space="preserve">Proposal 3: If the </w:t>
      </w:r>
      <w:r>
        <w:rPr>
          <w:rFonts w:hint="eastAsia"/>
          <w:b/>
          <w:bCs/>
          <w:i/>
          <w:iCs/>
          <w:sz w:val="20"/>
          <w:szCs w:val="20"/>
          <w:highlight w:val="none"/>
          <w:lang w:val="en-GB" w:eastAsia="en-US"/>
        </w:rPr>
        <w:t>cross-band MSD requirements resulting from intra-band contiguous UL CA configured with fully allocated maximum aggregated BW</w:t>
      </w:r>
      <w:r>
        <w:rPr>
          <w:rFonts w:hint="eastAsia"/>
          <w:b/>
          <w:bCs/>
          <w:i/>
          <w:iCs/>
          <w:sz w:val="20"/>
          <w:szCs w:val="20"/>
          <w:highlight w:val="none"/>
          <w:lang w:val="en-US" w:eastAsia="zh-CN"/>
        </w:rPr>
        <w:t xml:space="preserve"> is considered to be defined:</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Only to define new cross band isolation MSD for ACLR1/ACLR2 interference source</w:t>
      </w:r>
    </w:p>
    <w:p>
      <w:pPr>
        <w:keepNext w:val="0"/>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To reuse cross band isolation MSD of single carrier for &gt;ACLR2 interference source</w:t>
      </w:r>
    </w:p>
    <w:p>
      <w:pPr>
        <w:keepNext w:val="0"/>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pageBreakBefore w:val="0"/>
        <w:widowControl w:val="0"/>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eastAsia"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[1] </w:t>
      </w:r>
      <w:r>
        <w:rPr>
          <w:rFonts w:hint="eastAsia" w:ascii="Times New Roman" w:hAnsi="Times New Roman" w:eastAsia="宋体" w:cs="Times New Roman"/>
          <w:b w:val="0"/>
          <w:kern w:val="2"/>
          <w:sz w:val="20"/>
          <w:szCs w:val="20"/>
          <w:lang w:val="en-US" w:eastAsia="zh-CN" w:bidi="ar-SA"/>
        </w:rPr>
        <w:t>R4-2406676, WF on MSD requirements with intra-band contiguous UL CA, Apple</w:t>
      </w:r>
    </w:p>
    <w:p>
      <w:pPr>
        <w:keepNext w:val="0"/>
        <w:keepLines/>
        <w:pageBreakBefore w:val="0"/>
        <w:widowControl w:val="0"/>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default"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[2] </w:t>
      </w:r>
      <w:r>
        <w:rPr>
          <w:rFonts w:hint="default" w:ascii="Times New Roman" w:hAnsi="Times New Roman" w:eastAsia="宋体" w:cs="Times New Roman"/>
          <w:b w:val="0"/>
          <w:kern w:val="2"/>
          <w:sz w:val="20"/>
          <w:szCs w:val="20"/>
          <w:lang w:val="en-US" w:eastAsia="zh-CN" w:bidi="ar-SA"/>
        </w:rPr>
        <w:t>R4-2407082</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On MSD requirements with intra-band contiguous UL CA</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Apple</w:t>
      </w:r>
    </w:p>
    <w:p>
      <w:pPr>
        <w:keepNext w:val="0"/>
        <w:keepLines/>
        <w:pageBreakBefore w:val="0"/>
        <w:widowControl w:val="0"/>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default"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[3] </w:t>
      </w:r>
      <w:r>
        <w:rPr>
          <w:rFonts w:hint="default" w:ascii="Times New Roman" w:hAnsi="Times New Roman" w:eastAsia="宋体" w:cs="Times New Roman"/>
          <w:b w:val="0"/>
          <w:kern w:val="2"/>
          <w:sz w:val="20"/>
          <w:szCs w:val="20"/>
          <w:lang w:val="en-US" w:eastAsia="zh-CN" w:bidi="ar-SA"/>
        </w:rPr>
        <w:t>R4-2407372</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On UL configuration for intra-band ULCA IMDs</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Skyworks Solutions Inc.</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[4] </w:t>
      </w:r>
      <w:r>
        <w:rPr>
          <w:rFonts w:hint="default" w:ascii="Times New Roman" w:hAnsi="Times New Roman" w:eastAsia="宋体" w:cs="Times New Roman"/>
          <w:b w:val="0"/>
          <w:kern w:val="2"/>
          <w:sz w:val="20"/>
          <w:szCs w:val="20"/>
          <w:lang w:val="en-US" w:eastAsia="zh-CN" w:bidi="ar-SA"/>
        </w:rPr>
        <w:t>R4-2407622</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Discussion on the MSD requirements of intra-band contiguous UL CA with non-contiguous RB allocation</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Huawei, HiSilicon</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[5] </w:t>
      </w:r>
      <w:r>
        <w:rPr>
          <w:rFonts w:hint="default" w:ascii="Times New Roman" w:hAnsi="Times New Roman" w:eastAsia="宋体" w:cs="Times New Roman"/>
          <w:b w:val="0"/>
          <w:kern w:val="2"/>
          <w:sz w:val="20"/>
          <w:szCs w:val="20"/>
          <w:lang w:val="en-US" w:eastAsia="zh-CN" w:bidi="ar-SA"/>
        </w:rPr>
        <w:t>R4-2408731</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Discussion on MSD requirements with intra-band contiguous UL CA</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CMCC</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[6] </w:t>
      </w:r>
      <w:r>
        <w:rPr>
          <w:rFonts w:hint="default" w:ascii="Times New Roman" w:hAnsi="Times New Roman" w:eastAsia="宋体" w:cs="Times New Roman"/>
          <w:b w:val="0"/>
          <w:kern w:val="2"/>
          <w:sz w:val="20"/>
          <w:szCs w:val="20"/>
          <w:lang w:val="en-US" w:eastAsia="zh-CN" w:bidi="ar-SA"/>
        </w:rPr>
        <w:t>R4-2409319</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Discussion on MSD test point trade-off for intra-band UL CA</w:t>
      </w:r>
      <w:r>
        <w:rPr>
          <w:rFonts w:hint="eastAsia" w:cs="Times New Roman"/>
          <w:b w:val="0"/>
          <w:kern w:val="2"/>
          <w:sz w:val="20"/>
          <w:szCs w:val="20"/>
          <w:lang w:val="en-US" w:eastAsia="zh-CN" w:bidi="ar-SA"/>
        </w:rPr>
        <w:t>,</w:t>
      </w:r>
      <w:r>
        <w:rPr>
          <w:rFonts w:hint="default" w:ascii="Times New Roman" w:hAnsi="Times New Roman" w:eastAsia="宋体" w:cs="Times New Roman"/>
          <w:b w:val="0"/>
          <w:kern w:val="2"/>
          <w:sz w:val="20"/>
          <w:szCs w:val="20"/>
          <w:lang w:val="en-US" w:eastAsia="zh-CN" w:bidi="ar-SA"/>
        </w:rPr>
        <w:t>Huawei, HiSilicon</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[7] </w:t>
      </w:r>
      <w:r>
        <w:rPr>
          <w:rFonts w:hint="default" w:ascii="Times New Roman" w:hAnsi="Times New Roman" w:eastAsia="宋体" w:cs="Times New Roman"/>
          <w:b w:val="0"/>
          <w:kern w:val="2"/>
          <w:sz w:val="20"/>
          <w:szCs w:val="20"/>
          <w:lang w:val="en-US" w:eastAsia="zh-CN" w:bidi="ar-SA"/>
        </w:rPr>
        <w:t>R4-2408357</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On MSD requirements with intra-band contiguous UL CA</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ZTE Corporation, Sanechips</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[8] </w:t>
      </w:r>
      <w:r>
        <w:rPr>
          <w:rFonts w:hint="default" w:ascii="Times New Roman" w:hAnsi="Times New Roman" w:eastAsia="宋体" w:cs="Times New Roman"/>
          <w:b w:val="0"/>
          <w:kern w:val="2"/>
          <w:sz w:val="20"/>
          <w:szCs w:val="20"/>
          <w:lang w:val="en-US" w:eastAsia="zh-CN" w:bidi="ar-SA"/>
        </w:rPr>
        <w:t>R4-2408853</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MSD requirements with intra-band contiguous CA</w:t>
      </w:r>
      <w:r>
        <w:rPr>
          <w:rFonts w:hint="eastAsia"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Qualcomm France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8145F"/>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B0984"/>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569BB"/>
    <w:rsid w:val="01101B26"/>
    <w:rsid w:val="011404C5"/>
    <w:rsid w:val="0117001C"/>
    <w:rsid w:val="011A0B49"/>
    <w:rsid w:val="0129526D"/>
    <w:rsid w:val="013F4C05"/>
    <w:rsid w:val="014A0623"/>
    <w:rsid w:val="014C6B63"/>
    <w:rsid w:val="014F5189"/>
    <w:rsid w:val="01536583"/>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330E8"/>
    <w:rsid w:val="022D3E9F"/>
    <w:rsid w:val="022D4A6E"/>
    <w:rsid w:val="022F6C93"/>
    <w:rsid w:val="023B0A39"/>
    <w:rsid w:val="023C78A7"/>
    <w:rsid w:val="02444B7E"/>
    <w:rsid w:val="024A5964"/>
    <w:rsid w:val="024B023C"/>
    <w:rsid w:val="024D6B6A"/>
    <w:rsid w:val="024F6C8C"/>
    <w:rsid w:val="02504E6F"/>
    <w:rsid w:val="02510B5E"/>
    <w:rsid w:val="02566C17"/>
    <w:rsid w:val="025A122E"/>
    <w:rsid w:val="02655431"/>
    <w:rsid w:val="027275A1"/>
    <w:rsid w:val="027371D9"/>
    <w:rsid w:val="0276366F"/>
    <w:rsid w:val="027C45A5"/>
    <w:rsid w:val="027F646E"/>
    <w:rsid w:val="02803A56"/>
    <w:rsid w:val="028C1FD4"/>
    <w:rsid w:val="028F6D4C"/>
    <w:rsid w:val="02933CBB"/>
    <w:rsid w:val="02951DBD"/>
    <w:rsid w:val="029A69A7"/>
    <w:rsid w:val="029B04E7"/>
    <w:rsid w:val="029D7AB8"/>
    <w:rsid w:val="02A10998"/>
    <w:rsid w:val="02A705C7"/>
    <w:rsid w:val="02AB0FBC"/>
    <w:rsid w:val="02AE6812"/>
    <w:rsid w:val="02B15459"/>
    <w:rsid w:val="02BD787A"/>
    <w:rsid w:val="02D16C80"/>
    <w:rsid w:val="02DC3F9C"/>
    <w:rsid w:val="02E14F55"/>
    <w:rsid w:val="02E43645"/>
    <w:rsid w:val="02EB30F4"/>
    <w:rsid w:val="02F900F0"/>
    <w:rsid w:val="03047DDD"/>
    <w:rsid w:val="03073BDC"/>
    <w:rsid w:val="030B0647"/>
    <w:rsid w:val="030B2860"/>
    <w:rsid w:val="030C40C1"/>
    <w:rsid w:val="030D2F0B"/>
    <w:rsid w:val="030F3B4D"/>
    <w:rsid w:val="03350E4E"/>
    <w:rsid w:val="03382FC4"/>
    <w:rsid w:val="033C68CE"/>
    <w:rsid w:val="03416974"/>
    <w:rsid w:val="03445E8F"/>
    <w:rsid w:val="03496C64"/>
    <w:rsid w:val="035154D3"/>
    <w:rsid w:val="03522DE6"/>
    <w:rsid w:val="03527C38"/>
    <w:rsid w:val="03557185"/>
    <w:rsid w:val="0356746F"/>
    <w:rsid w:val="03620451"/>
    <w:rsid w:val="03642E26"/>
    <w:rsid w:val="036E37C2"/>
    <w:rsid w:val="03746F87"/>
    <w:rsid w:val="03780D14"/>
    <w:rsid w:val="037828CA"/>
    <w:rsid w:val="03802AC0"/>
    <w:rsid w:val="038143CE"/>
    <w:rsid w:val="03814F5B"/>
    <w:rsid w:val="038B3141"/>
    <w:rsid w:val="03970C22"/>
    <w:rsid w:val="03A52784"/>
    <w:rsid w:val="03A77DFA"/>
    <w:rsid w:val="03AA5C06"/>
    <w:rsid w:val="03AC1F4B"/>
    <w:rsid w:val="03B339B1"/>
    <w:rsid w:val="03C05350"/>
    <w:rsid w:val="03C1287B"/>
    <w:rsid w:val="03C12A05"/>
    <w:rsid w:val="03C36B0E"/>
    <w:rsid w:val="03C528EA"/>
    <w:rsid w:val="03C53E20"/>
    <w:rsid w:val="03C5702C"/>
    <w:rsid w:val="03CF67FA"/>
    <w:rsid w:val="03D7133F"/>
    <w:rsid w:val="03D82F4A"/>
    <w:rsid w:val="03DC5000"/>
    <w:rsid w:val="03DF1641"/>
    <w:rsid w:val="03E358F3"/>
    <w:rsid w:val="03E641C4"/>
    <w:rsid w:val="03E84DE8"/>
    <w:rsid w:val="04006F66"/>
    <w:rsid w:val="04030035"/>
    <w:rsid w:val="040F0942"/>
    <w:rsid w:val="04251A4C"/>
    <w:rsid w:val="04254BF5"/>
    <w:rsid w:val="042D2E97"/>
    <w:rsid w:val="04305EA0"/>
    <w:rsid w:val="04310833"/>
    <w:rsid w:val="04343921"/>
    <w:rsid w:val="043865BF"/>
    <w:rsid w:val="043A14AD"/>
    <w:rsid w:val="04477A12"/>
    <w:rsid w:val="044C78D8"/>
    <w:rsid w:val="04537B11"/>
    <w:rsid w:val="04684A28"/>
    <w:rsid w:val="046C0EAE"/>
    <w:rsid w:val="04782230"/>
    <w:rsid w:val="0479507E"/>
    <w:rsid w:val="047D0134"/>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E7487"/>
    <w:rsid w:val="05161D2D"/>
    <w:rsid w:val="0522500E"/>
    <w:rsid w:val="052E568F"/>
    <w:rsid w:val="0537511C"/>
    <w:rsid w:val="053973F0"/>
    <w:rsid w:val="053E65E7"/>
    <w:rsid w:val="05437A57"/>
    <w:rsid w:val="054E2A6F"/>
    <w:rsid w:val="055032B7"/>
    <w:rsid w:val="0555228E"/>
    <w:rsid w:val="05692402"/>
    <w:rsid w:val="056D1155"/>
    <w:rsid w:val="056F7FAB"/>
    <w:rsid w:val="057030A6"/>
    <w:rsid w:val="05741F0E"/>
    <w:rsid w:val="057D1D66"/>
    <w:rsid w:val="0584418A"/>
    <w:rsid w:val="058E7B70"/>
    <w:rsid w:val="058F1E91"/>
    <w:rsid w:val="059D265F"/>
    <w:rsid w:val="05B74214"/>
    <w:rsid w:val="05B92EC1"/>
    <w:rsid w:val="05C251E4"/>
    <w:rsid w:val="05C26893"/>
    <w:rsid w:val="05C868B7"/>
    <w:rsid w:val="05E078B3"/>
    <w:rsid w:val="05EE6827"/>
    <w:rsid w:val="05F11F71"/>
    <w:rsid w:val="05FE4B58"/>
    <w:rsid w:val="0601277E"/>
    <w:rsid w:val="060C5AED"/>
    <w:rsid w:val="060D31B6"/>
    <w:rsid w:val="06103146"/>
    <w:rsid w:val="06172561"/>
    <w:rsid w:val="061E54DA"/>
    <w:rsid w:val="061E5E22"/>
    <w:rsid w:val="061F255D"/>
    <w:rsid w:val="062C26E7"/>
    <w:rsid w:val="063F5DA3"/>
    <w:rsid w:val="06460B91"/>
    <w:rsid w:val="06472FEB"/>
    <w:rsid w:val="0654187C"/>
    <w:rsid w:val="065475DE"/>
    <w:rsid w:val="06556C03"/>
    <w:rsid w:val="06575D97"/>
    <w:rsid w:val="06616D0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A87C93"/>
    <w:rsid w:val="06B741D9"/>
    <w:rsid w:val="06BA6E65"/>
    <w:rsid w:val="06C457B6"/>
    <w:rsid w:val="06CD4A70"/>
    <w:rsid w:val="06DF4C13"/>
    <w:rsid w:val="06E34232"/>
    <w:rsid w:val="06E7678C"/>
    <w:rsid w:val="06F13CA3"/>
    <w:rsid w:val="06F14C51"/>
    <w:rsid w:val="06F2422A"/>
    <w:rsid w:val="06F42A88"/>
    <w:rsid w:val="06F6568E"/>
    <w:rsid w:val="06F801C0"/>
    <w:rsid w:val="06F82878"/>
    <w:rsid w:val="070E5EE2"/>
    <w:rsid w:val="07105178"/>
    <w:rsid w:val="0712124C"/>
    <w:rsid w:val="071426A5"/>
    <w:rsid w:val="071614A3"/>
    <w:rsid w:val="07171DAE"/>
    <w:rsid w:val="071A1AB9"/>
    <w:rsid w:val="071C13A8"/>
    <w:rsid w:val="07330445"/>
    <w:rsid w:val="073D143C"/>
    <w:rsid w:val="073E1A3D"/>
    <w:rsid w:val="0747308D"/>
    <w:rsid w:val="074855FD"/>
    <w:rsid w:val="076013D1"/>
    <w:rsid w:val="07627CA0"/>
    <w:rsid w:val="076319C4"/>
    <w:rsid w:val="076925D2"/>
    <w:rsid w:val="076A5035"/>
    <w:rsid w:val="077241E3"/>
    <w:rsid w:val="07731BAD"/>
    <w:rsid w:val="07787303"/>
    <w:rsid w:val="077B06A2"/>
    <w:rsid w:val="078C5933"/>
    <w:rsid w:val="078D336C"/>
    <w:rsid w:val="0792420A"/>
    <w:rsid w:val="07971B3F"/>
    <w:rsid w:val="07983294"/>
    <w:rsid w:val="079F1838"/>
    <w:rsid w:val="07A2030D"/>
    <w:rsid w:val="07A5677E"/>
    <w:rsid w:val="07AE63FF"/>
    <w:rsid w:val="07B51934"/>
    <w:rsid w:val="07B9290D"/>
    <w:rsid w:val="07BB4A7F"/>
    <w:rsid w:val="07BE52B9"/>
    <w:rsid w:val="07BF7CC6"/>
    <w:rsid w:val="07C07B1D"/>
    <w:rsid w:val="07C55A1A"/>
    <w:rsid w:val="07D26643"/>
    <w:rsid w:val="07D57946"/>
    <w:rsid w:val="07D74674"/>
    <w:rsid w:val="07E2277C"/>
    <w:rsid w:val="07E6675C"/>
    <w:rsid w:val="07ED524D"/>
    <w:rsid w:val="07FC1127"/>
    <w:rsid w:val="07FC35AE"/>
    <w:rsid w:val="080124E3"/>
    <w:rsid w:val="080B341D"/>
    <w:rsid w:val="080C7FA0"/>
    <w:rsid w:val="08120068"/>
    <w:rsid w:val="08162951"/>
    <w:rsid w:val="08193C24"/>
    <w:rsid w:val="082E1CC1"/>
    <w:rsid w:val="08316D5A"/>
    <w:rsid w:val="08341060"/>
    <w:rsid w:val="083D71D5"/>
    <w:rsid w:val="085514F1"/>
    <w:rsid w:val="085A5F4A"/>
    <w:rsid w:val="08675174"/>
    <w:rsid w:val="086A1F0D"/>
    <w:rsid w:val="086E5E77"/>
    <w:rsid w:val="08732D34"/>
    <w:rsid w:val="08787FF0"/>
    <w:rsid w:val="087A67ED"/>
    <w:rsid w:val="08824DF0"/>
    <w:rsid w:val="0889002B"/>
    <w:rsid w:val="088E0696"/>
    <w:rsid w:val="089B79D9"/>
    <w:rsid w:val="08A44DA6"/>
    <w:rsid w:val="08AA245A"/>
    <w:rsid w:val="08BA6E24"/>
    <w:rsid w:val="08BB0829"/>
    <w:rsid w:val="08C024D5"/>
    <w:rsid w:val="08C562FD"/>
    <w:rsid w:val="08CA27B1"/>
    <w:rsid w:val="08D25907"/>
    <w:rsid w:val="08E916DF"/>
    <w:rsid w:val="08F3022B"/>
    <w:rsid w:val="08F473EA"/>
    <w:rsid w:val="08F815F3"/>
    <w:rsid w:val="08F96E54"/>
    <w:rsid w:val="08FC0AA5"/>
    <w:rsid w:val="090868CF"/>
    <w:rsid w:val="09110C6F"/>
    <w:rsid w:val="09167EC9"/>
    <w:rsid w:val="091C4700"/>
    <w:rsid w:val="09261B0E"/>
    <w:rsid w:val="09294EE0"/>
    <w:rsid w:val="092C729B"/>
    <w:rsid w:val="09306537"/>
    <w:rsid w:val="09355076"/>
    <w:rsid w:val="093835AD"/>
    <w:rsid w:val="09392119"/>
    <w:rsid w:val="093E6BA4"/>
    <w:rsid w:val="09445E95"/>
    <w:rsid w:val="09543B3B"/>
    <w:rsid w:val="09600FBD"/>
    <w:rsid w:val="0972595C"/>
    <w:rsid w:val="097734F1"/>
    <w:rsid w:val="097960C6"/>
    <w:rsid w:val="097D5DA0"/>
    <w:rsid w:val="098143BC"/>
    <w:rsid w:val="098500F1"/>
    <w:rsid w:val="09974072"/>
    <w:rsid w:val="099E4326"/>
    <w:rsid w:val="09B7610E"/>
    <w:rsid w:val="09BD407A"/>
    <w:rsid w:val="09C217D5"/>
    <w:rsid w:val="09CC28B3"/>
    <w:rsid w:val="09CD7D07"/>
    <w:rsid w:val="09DA0E26"/>
    <w:rsid w:val="09E55691"/>
    <w:rsid w:val="09EA29E1"/>
    <w:rsid w:val="09EB2B51"/>
    <w:rsid w:val="09EF75D1"/>
    <w:rsid w:val="09F43460"/>
    <w:rsid w:val="09F67CD5"/>
    <w:rsid w:val="0A054821"/>
    <w:rsid w:val="0A0835C8"/>
    <w:rsid w:val="0A09091A"/>
    <w:rsid w:val="0A145721"/>
    <w:rsid w:val="0A2C297E"/>
    <w:rsid w:val="0A307C92"/>
    <w:rsid w:val="0A355EAA"/>
    <w:rsid w:val="0A3708FF"/>
    <w:rsid w:val="0A3B01F9"/>
    <w:rsid w:val="0A3F0488"/>
    <w:rsid w:val="0A402A36"/>
    <w:rsid w:val="0A4236A3"/>
    <w:rsid w:val="0A49096C"/>
    <w:rsid w:val="0A4E7EF5"/>
    <w:rsid w:val="0A646846"/>
    <w:rsid w:val="0A76304F"/>
    <w:rsid w:val="0A8251CA"/>
    <w:rsid w:val="0A8828AB"/>
    <w:rsid w:val="0A895661"/>
    <w:rsid w:val="0A927DC1"/>
    <w:rsid w:val="0A9358E8"/>
    <w:rsid w:val="0A952FEA"/>
    <w:rsid w:val="0A9B4F7F"/>
    <w:rsid w:val="0A9C263A"/>
    <w:rsid w:val="0A9E3D3D"/>
    <w:rsid w:val="0AA077E0"/>
    <w:rsid w:val="0AA84209"/>
    <w:rsid w:val="0ABC4D71"/>
    <w:rsid w:val="0AC01F88"/>
    <w:rsid w:val="0AC0212C"/>
    <w:rsid w:val="0AC81C45"/>
    <w:rsid w:val="0AD542C1"/>
    <w:rsid w:val="0ADD5A20"/>
    <w:rsid w:val="0ADF65DA"/>
    <w:rsid w:val="0AE10FD9"/>
    <w:rsid w:val="0AF13898"/>
    <w:rsid w:val="0AFB3228"/>
    <w:rsid w:val="0AFC6C07"/>
    <w:rsid w:val="0B0250FD"/>
    <w:rsid w:val="0B0F025C"/>
    <w:rsid w:val="0B1A6333"/>
    <w:rsid w:val="0B2713F4"/>
    <w:rsid w:val="0B2E7CE5"/>
    <w:rsid w:val="0B3C130A"/>
    <w:rsid w:val="0B3D701F"/>
    <w:rsid w:val="0B3E7DD7"/>
    <w:rsid w:val="0B481192"/>
    <w:rsid w:val="0B494066"/>
    <w:rsid w:val="0B4D4BB3"/>
    <w:rsid w:val="0B4F7F8D"/>
    <w:rsid w:val="0B561995"/>
    <w:rsid w:val="0B5C2C2A"/>
    <w:rsid w:val="0B665E0A"/>
    <w:rsid w:val="0B704697"/>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BE301C1"/>
    <w:rsid w:val="0C064507"/>
    <w:rsid w:val="0C1E494F"/>
    <w:rsid w:val="0C3427D0"/>
    <w:rsid w:val="0C43327D"/>
    <w:rsid w:val="0C4426AF"/>
    <w:rsid w:val="0C4577EC"/>
    <w:rsid w:val="0C4F7881"/>
    <w:rsid w:val="0C5C6396"/>
    <w:rsid w:val="0C63431B"/>
    <w:rsid w:val="0C650A20"/>
    <w:rsid w:val="0C690EFA"/>
    <w:rsid w:val="0C695AE0"/>
    <w:rsid w:val="0C6E11B8"/>
    <w:rsid w:val="0C723CD1"/>
    <w:rsid w:val="0C7C40BF"/>
    <w:rsid w:val="0C8005ED"/>
    <w:rsid w:val="0C814739"/>
    <w:rsid w:val="0C8601BF"/>
    <w:rsid w:val="0C863429"/>
    <w:rsid w:val="0C8B63A3"/>
    <w:rsid w:val="0C9F6AEC"/>
    <w:rsid w:val="0CA070FC"/>
    <w:rsid w:val="0CB94808"/>
    <w:rsid w:val="0CC11AEF"/>
    <w:rsid w:val="0CC37BC2"/>
    <w:rsid w:val="0CCB7A8E"/>
    <w:rsid w:val="0CD87ABE"/>
    <w:rsid w:val="0CD90733"/>
    <w:rsid w:val="0CE26C42"/>
    <w:rsid w:val="0CE4156E"/>
    <w:rsid w:val="0CE632FF"/>
    <w:rsid w:val="0CE76B48"/>
    <w:rsid w:val="0CEB5DBE"/>
    <w:rsid w:val="0CF6484A"/>
    <w:rsid w:val="0CFB523A"/>
    <w:rsid w:val="0CFC15F0"/>
    <w:rsid w:val="0D0227BA"/>
    <w:rsid w:val="0D111145"/>
    <w:rsid w:val="0D1B1E9C"/>
    <w:rsid w:val="0D1C7510"/>
    <w:rsid w:val="0D246FEC"/>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C3AE8"/>
    <w:rsid w:val="0DD87842"/>
    <w:rsid w:val="0DE35C55"/>
    <w:rsid w:val="0DF202E1"/>
    <w:rsid w:val="0DF53CE3"/>
    <w:rsid w:val="0E0961C5"/>
    <w:rsid w:val="0E147898"/>
    <w:rsid w:val="0E183199"/>
    <w:rsid w:val="0E2A7688"/>
    <w:rsid w:val="0E2F216B"/>
    <w:rsid w:val="0E3352C6"/>
    <w:rsid w:val="0E3A5EE2"/>
    <w:rsid w:val="0E542F3B"/>
    <w:rsid w:val="0E6271C6"/>
    <w:rsid w:val="0E6271DF"/>
    <w:rsid w:val="0E65475F"/>
    <w:rsid w:val="0E655A78"/>
    <w:rsid w:val="0E681731"/>
    <w:rsid w:val="0E6C5EC6"/>
    <w:rsid w:val="0E7071B5"/>
    <w:rsid w:val="0E743408"/>
    <w:rsid w:val="0E81568A"/>
    <w:rsid w:val="0E924723"/>
    <w:rsid w:val="0E942250"/>
    <w:rsid w:val="0E963344"/>
    <w:rsid w:val="0E9E6E00"/>
    <w:rsid w:val="0EA40C1C"/>
    <w:rsid w:val="0EB72E4B"/>
    <w:rsid w:val="0EB91987"/>
    <w:rsid w:val="0ED07B90"/>
    <w:rsid w:val="0EDA2BCA"/>
    <w:rsid w:val="0EEC6F1D"/>
    <w:rsid w:val="0EF00D65"/>
    <w:rsid w:val="0EF33893"/>
    <w:rsid w:val="0EFB6721"/>
    <w:rsid w:val="0EFF5127"/>
    <w:rsid w:val="0F0008B2"/>
    <w:rsid w:val="0F054463"/>
    <w:rsid w:val="0F103291"/>
    <w:rsid w:val="0F1D498B"/>
    <w:rsid w:val="0F337178"/>
    <w:rsid w:val="0F3B15FC"/>
    <w:rsid w:val="0F41022A"/>
    <w:rsid w:val="0F44420A"/>
    <w:rsid w:val="0F4B77A5"/>
    <w:rsid w:val="0F4E15FF"/>
    <w:rsid w:val="0F4F1A2F"/>
    <w:rsid w:val="0F56743B"/>
    <w:rsid w:val="0F5D0D44"/>
    <w:rsid w:val="0F60682C"/>
    <w:rsid w:val="0F6763D9"/>
    <w:rsid w:val="0F6A2766"/>
    <w:rsid w:val="0F715B2B"/>
    <w:rsid w:val="0F764270"/>
    <w:rsid w:val="0F773D64"/>
    <w:rsid w:val="0F7756E1"/>
    <w:rsid w:val="0F790C96"/>
    <w:rsid w:val="0F7B50CD"/>
    <w:rsid w:val="0F7F273F"/>
    <w:rsid w:val="0F8418ED"/>
    <w:rsid w:val="0F957B47"/>
    <w:rsid w:val="0F98796C"/>
    <w:rsid w:val="0F9F6FA4"/>
    <w:rsid w:val="0FA65D5C"/>
    <w:rsid w:val="0FA83295"/>
    <w:rsid w:val="0FAD33DA"/>
    <w:rsid w:val="0FBE2A42"/>
    <w:rsid w:val="0FBF1587"/>
    <w:rsid w:val="0FC17CCE"/>
    <w:rsid w:val="0FC424B9"/>
    <w:rsid w:val="0FD15480"/>
    <w:rsid w:val="0FD70565"/>
    <w:rsid w:val="0FEA050A"/>
    <w:rsid w:val="0FEC680C"/>
    <w:rsid w:val="0FEE2832"/>
    <w:rsid w:val="0FF83B33"/>
    <w:rsid w:val="10007AD6"/>
    <w:rsid w:val="10016174"/>
    <w:rsid w:val="10083F4D"/>
    <w:rsid w:val="100D3E09"/>
    <w:rsid w:val="101B1E8A"/>
    <w:rsid w:val="101C4A03"/>
    <w:rsid w:val="101D0C86"/>
    <w:rsid w:val="10325332"/>
    <w:rsid w:val="10386626"/>
    <w:rsid w:val="103B2931"/>
    <w:rsid w:val="10402896"/>
    <w:rsid w:val="104A023B"/>
    <w:rsid w:val="10505F3B"/>
    <w:rsid w:val="105F56AF"/>
    <w:rsid w:val="106D2686"/>
    <w:rsid w:val="107538B9"/>
    <w:rsid w:val="107641C0"/>
    <w:rsid w:val="107A2416"/>
    <w:rsid w:val="107C3E2C"/>
    <w:rsid w:val="107D41AE"/>
    <w:rsid w:val="10887960"/>
    <w:rsid w:val="108C2479"/>
    <w:rsid w:val="109E4593"/>
    <w:rsid w:val="10A96993"/>
    <w:rsid w:val="10AA1B06"/>
    <w:rsid w:val="10B661A8"/>
    <w:rsid w:val="10C227EB"/>
    <w:rsid w:val="10C715C5"/>
    <w:rsid w:val="10CC72E4"/>
    <w:rsid w:val="10D335EF"/>
    <w:rsid w:val="10DA6BCD"/>
    <w:rsid w:val="10E3138D"/>
    <w:rsid w:val="10E746EA"/>
    <w:rsid w:val="10E83FE0"/>
    <w:rsid w:val="10EC3168"/>
    <w:rsid w:val="10EC5C55"/>
    <w:rsid w:val="10F24E5D"/>
    <w:rsid w:val="10F52718"/>
    <w:rsid w:val="1104237A"/>
    <w:rsid w:val="1110206C"/>
    <w:rsid w:val="112E2D86"/>
    <w:rsid w:val="11301133"/>
    <w:rsid w:val="113457E2"/>
    <w:rsid w:val="11366DAC"/>
    <w:rsid w:val="11376E36"/>
    <w:rsid w:val="114028DC"/>
    <w:rsid w:val="11460FF2"/>
    <w:rsid w:val="116F1EB0"/>
    <w:rsid w:val="117B1D6A"/>
    <w:rsid w:val="117C2D9D"/>
    <w:rsid w:val="117F159E"/>
    <w:rsid w:val="11821DC9"/>
    <w:rsid w:val="118453C1"/>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76C8A"/>
    <w:rsid w:val="11F92DAB"/>
    <w:rsid w:val="11FC38D5"/>
    <w:rsid w:val="11FE0013"/>
    <w:rsid w:val="12027812"/>
    <w:rsid w:val="120F4FE0"/>
    <w:rsid w:val="120F5D2F"/>
    <w:rsid w:val="1210682D"/>
    <w:rsid w:val="12121BB4"/>
    <w:rsid w:val="12162A85"/>
    <w:rsid w:val="121A40C0"/>
    <w:rsid w:val="123332A6"/>
    <w:rsid w:val="12384D02"/>
    <w:rsid w:val="123A05DB"/>
    <w:rsid w:val="124240B9"/>
    <w:rsid w:val="124D0988"/>
    <w:rsid w:val="124D0CC1"/>
    <w:rsid w:val="12680E73"/>
    <w:rsid w:val="1268374F"/>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7341C"/>
    <w:rsid w:val="130C40FE"/>
    <w:rsid w:val="130E3629"/>
    <w:rsid w:val="131B39DD"/>
    <w:rsid w:val="131E2669"/>
    <w:rsid w:val="13216E71"/>
    <w:rsid w:val="13237634"/>
    <w:rsid w:val="13283BA4"/>
    <w:rsid w:val="13332F77"/>
    <w:rsid w:val="13334E1C"/>
    <w:rsid w:val="13346EE4"/>
    <w:rsid w:val="13384952"/>
    <w:rsid w:val="13424DBA"/>
    <w:rsid w:val="134F31A5"/>
    <w:rsid w:val="13505730"/>
    <w:rsid w:val="1355107F"/>
    <w:rsid w:val="135D4D2E"/>
    <w:rsid w:val="135F4CF0"/>
    <w:rsid w:val="1366638D"/>
    <w:rsid w:val="136D76E8"/>
    <w:rsid w:val="137266E0"/>
    <w:rsid w:val="137F164B"/>
    <w:rsid w:val="13853516"/>
    <w:rsid w:val="138B153D"/>
    <w:rsid w:val="13992BE4"/>
    <w:rsid w:val="139D3156"/>
    <w:rsid w:val="13A9004F"/>
    <w:rsid w:val="13A938D2"/>
    <w:rsid w:val="13AA5FA1"/>
    <w:rsid w:val="13AF2BDE"/>
    <w:rsid w:val="13BB0DD4"/>
    <w:rsid w:val="13C20262"/>
    <w:rsid w:val="13D024B3"/>
    <w:rsid w:val="13D115EF"/>
    <w:rsid w:val="13D24F6C"/>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E117F"/>
    <w:rsid w:val="14AC0C32"/>
    <w:rsid w:val="14C27DCC"/>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C4F4E"/>
    <w:rsid w:val="15FB16C4"/>
    <w:rsid w:val="1608480E"/>
    <w:rsid w:val="161C1C58"/>
    <w:rsid w:val="1622315D"/>
    <w:rsid w:val="1626155A"/>
    <w:rsid w:val="16282C4E"/>
    <w:rsid w:val="1629434E"/>
    <w:rsid w:val="162E1BBF"/>
    <w:rsid w:val="162F7556"/>
    <w:rsid w:val="16413A3A"/>
    <w:rsid w:val="16436E25"/>
    <w:rsid w:val="1644500C"/>
    <w:rsid w:val="16461A95"/>
    <w:rsid w:val="16585E87"/>
    <w:rsid w:val="16594F06"/>
    <w:rsid w:val="165A38E6"/>
    <w:rsid w:val="165C6C0C"/>
    <w:rsid w:val="166F5E80"/>
    <w:rsid w:val="16766A92"/>
    <w:rsid w:val="167A52A9"/>
    <w:rsid w:val="167B7B40"/>
    <w:rsid w:val="167C6594"/>
    <w:rsid w:val="167F5523"/>
    <w:rsid w:val="16833FFF"/>
    <w:rsid w:val="16866882"/>
    <w:rsid w:val="16895E32"/>
    <w:rsid w:val="168F69F2"/>
    <w:rsid w:val="16975AD6"/>
    <w:rsid w:val="16980722"/>
    <w:rsid w:val="169C7FDE"/>
    <w:rsid w:val="169F1EA0"/>
    <w:rsid w:val="16A4319F"/>
    <w:rsid w:val="16AB55DA"/>
    <w:rsid w:val="16AC4DDB"/>
    <w:rsid w:val="16AD733F"/>
    <w:rsid w:val="16AE2FE3"/>
    <w:rsid w:val="16B23908"/>
    <w:rsid w:val="16B4400E"/>
    <w:rsid w:val="16B540F1"/>
    <w:rsid w:val="16C15CF6"/>
    <w:rsid w:val="16C71372"/>
    <w:rsid w:val="16C739DF"/>
    <w:rsid w:val="16C86CDB"/>
    <w:rsid w:val="16D20141"/>
    <w:rsid w:val="16DD3B26"/>
    <w:rsid w:val="16EB6E00"/>
    <w:rsid w:val="16EE7649"/>
    <w:rsid w:val="16F04615"/>
    <w:rsid w:val="16F55F75"/>
    <w:rsid w:val="16FD2447"/>
    <w:rsid w:val="17081A43"/>
    <w:rsid w:val="170B631B"/>
    <w:rsid w:val="1712339A"/>
    <w:rsid w:val="171B1C8E"/>
    <w:rsid w:val="171E63FC"/>
    <w:rsid w:val="172244D9"/>
    <w:rsid w:val="1722504D"/>
    <w:rsid w:val="172C2525"/>
    <w:rsid w:val="1738730F"/>
    <w:rsid w:val="17407E9C"/>
    <w:rsid w:val="17416499"/>
    <w:rsid w:val="17481B81"/>
    <w:rsid w:val="17481E8B"/>
    <w:rsid w:val="174A69B0"/>
    <w:rsid w:val="174B58EC"/>
    <w:rsid w:val="1750027D"/>
    <w:rsid w:val="175007ED"/>
    <w:rsid w:val="17667C8E"/>
    <w:rsid w:val="176B45C6"/>
    <w:rsid w:val="176C447F"/>
    <w:rsid w:val="17830A97"/>
    <w:rsid w:val="17850F99"/>
    <w:rsid w:val="17875303"/>
    <w:rsid w:val="178815C4"/>
    <w:rsid w:val="178E0548"/>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A40AA"/>
    <w:rsid w:val="180E3727"/>
    <w:rsid w:val="18171305"/>
    <w:rsid w:val="18210958"/>
    <w:rsid w:val="182543BD"/>
    <w:rsid w:val="18334194"/>
    <w:rsid w:val="183E1D37"/>
    <w:rsid w:val="1842749E"/>
    <w:rsid w:val="18482A17"/>
    <w:rsid w:val="184D0787"/>
    <w:rsid w:val="184F4D08"/>
    <w:rsid w:val="185D1883"/>
    <w:rsid w:val="185E3AA1"/>
    <w:rsid w:val="18742BD5"/>
    <w:rsid w:val="18812331"/>
    <w:rsid w:val="18816F1C"/>
    <w:rsid w:val="18853F3E"/>
    <w:rsid w:val="188F5919"/>
    <w:rsid w:val="18956393"/>
    <w:rsid w:val="18A8582C"/>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392B01"/>
    <w:rsid w:val="19454C70"/>
    <w:rsid w:val="194D2005"/>
    <w:rsid w:val="194D3980"/>
    <w:rsid w:val="196229FF"/>
    <w:rsid w:val="19655A52"/>
    <w:rsid w:val="19663168"/>
    <w:rsid w:val="196D1144"/>
    <w:rsid w:val="197724BD"/>
    <w:rsid w:val="19786B0A"/>
    <w:rsid w:val="197D4B59"/>
    <w:rsid w:val="198A41A1"/>
    <w:rsid w:val="199A2059"/>
    <w:rsid w:val="199B4699"/>
    <w:rsid w:val="19A40543"/>
    <w:rsid w:val="19AF3490"/>
    <w:rsid w:val="19B46E10"/>
    <w:rsid w:val="19C456C1"/>
    <w:rsid w:val="19C47D20"/>
    <w:rsid w:val="19C96BAE"/>
    <w:rsid w:val="19D21AFD"/>
    <w:rsid w:val="19DB6A7E"/>
    <w:rsid w:val="19DF018D"/>
    <w:rsid w:val="19E65498"/>
    <w:rsid w:val="19F061A1"/>
    <w:rsid w:val="19F3324D"/>
    <w:rsid w:val="1A054259"/>
    <w:rsid w:val="1A081816"/>
    <w:rsid w:val="1A0C5680"/>
    <w:rsid w:val="1A153EDB"/>
    <w:rsid w:val="1A165171"/>
    <w:rsid w:val="1A2F1830"/>
    <w:rsid w:val="1A4770E8"/>
    <w:rsid w:val="1A4858FF"/>
    <w:rsid w:val="1A4C698A"/>
    <w:rsid w:val="1A5222B5"/>
    <w:rsid w:val="1A552907"/>
    <w:rsid w:val="1A586874"/>
    <w:rsid w:val="1A5D5219"/>
    <w:rsid w:val="1A5E4B5A"/>
    <w:rsid w:val="1A605995"/>
    <w:rsid w:val="1A672B1C"/>
    <w:rsid w:val="1A6D7E69"/>
    <w:rsid w:val="1A735226"/>
    <w:rsid w:val="1A8301C0"/>
    <w:rsid w:val="1A852016"/>
    <w:rsid w:val="1A872248"/>
    <w:rsid w:val="1A8A605A"/>
    <w:rsid w:val="1A923A68"/>
    <w:rsid w:val="1A9B2279"/>
    <w:rsid w:val="1A9D2D45"/>
    <w:rsid w:val="1A9E6232"/>
    <w:rsid w:val="1AA57BA7"/>
    <w:rsid w:val="1AA74D3D"/>
    <w:rsid w:val="1AB34DB4"/>
    <w:rsid w:val="1AB613FD"/>
    <w:rsid w:val="1AB91DEF"/>
    <w:rsid w:val="1AC1475F"/>
    <w:rsid w:val="1ACF5EB8"/>
    <w:rsid w:val="1AD2428E"/>
    <w:rsid w:val="1AD26086"/>
    <w:rsid w:val="1AD827ED"/>
    <w:rsid w:val="1AD96085"/>
    <w:rsid w:val="1ADA65A5"/>
    <w:rsid w:val="1ADC75C9"/>
    <w:rsid w:val="1ADD5ACE"/>
    <w:rsid w:val="1ADD7AC1"/>
    <w:rsid w:val="1AE013F8"/>
    <w:rsid w:val="1AE8570C"/>
    <w:rsid w:val="1AF14946"/>
    <w:rsid w:val="1AFB06A3"/>
    <w:rsid w:val="1B0F19AE"/>
    <w:rsid w:val="1B2160BB"/>
    <w:rsid w:val="1B3137EE"/>
    <w:rsid w:val="1B3637AD"/>
    <w:rsid w:val="1B3E0DB5"/>
    <w:rsid w:val="1B435D31"/>
    <w:rsid w:val="1B454C94"/>
    <w:rsid w:val="1B496377"/>
    <w:rsid w:val="1B506283"/>
    <w:rsid w:val="1B631ABC"/>
    <w:rsid w:val="1B6353EE"/>
    <w:rsid w:val="1B6C0DF0"/>
    <w:rsid w:val="1B7034E2"/>
    <w:rsid w:val="1B797F1F"/>
    <w:rsid w:val="1B7F6005"/>
    <w:rsid w:val="1B852125"/>
    <w:rsid w:val="1B862C77"/>
    <w:rsid w:val="1B94236B"/>
    <w:rsid w:val="1B997393"/>
    <w:rsid w:val="1B9A1502"/>
    <w:rsid w:val="1B9C269A"/>
    <w:rsid w:val="1B9E64C5"/>
    <w:rsid w:val="1B9E6D4C"/>
    <w:rsid w:val="1BA252C1"/>
    <w:rsid w:val="1BAF07EF"/>
    <w:rsid w:val="1BBD43BA"/>
    <w:rsid w:val="1BBF5F5B"/>
    <w:rsid w:val="1BC01115"/>
    <w:rsid w:val="1BC44015"/>
    <w:rsid w:val="1BCA6284"/>
    <w:rsid w:val="1BE475CF"/>
    <w:rsid w:val="1BE94688"/>
    <w:rsid w:val="1BEA3348"/>
    <w:rsid w:val="1BFE5FF9"/>
    <w:rsid w:val="1C013494"/>
    <w:rsid w:val="1C053414"/>
    <w:rsid w:val="1C132CB9"/>
    <w:rsid w:val="1C1642A1"/>
    <w:rsid w:val="1C172E5D"/>
    <w:rsid w:val="1C207A38"/>
    <w:rsid w:val="1C273D33"/>
    <w:rsid w:val="1C274D98"/>
    <w:rsid w:val="1C4032AB"/>
    <w:rsid w:val="1C4672ED"/>
    <w:rsid w:val="1C467AB6"/>
    <w:rsid w:val="1C6277A9"/>
    <w:rsid w:val="1C6505C1"/>
    <w:rsid w:val="1C687AA0"/>
    <w:rsid w:val="1C7B213D"/>
    <w:rsid w:val="1C7F54CE"/>
    <w:rsid w:val="1C7F743F"/>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46E4C"/>
    <w:rsid w:val="1D051DAC"/>
    <w:rsid w:val="1D1316E8"/>
    <w:rsid w:val="1D151FC9"/>
    <w:rsid w:val="1D1D7103"/>
    <w:rsid w:val="1D2B0BB4"/>
    <w:rsid w:val="1D3305FF"/>
    <w:rsid w:val="1D335FC4"/>
    <w:rsid w:val="1D343363"/>
    <w:rsid w:val="1D395282"/>
    <w:rsid w:val="1D4251BA"/>
    <w:rsid w:val="1D551881"/>
    <w:rsid w:val="1D5959E7"/>
    <w:rsid w:val="1D5F5386"/>
    <w:rsid w:val="1D7072CE"/>
    <w:rsid w:val="1D794A16"/>
    <w:rsid w:val="1D795467"/>
    <w:rsid w:val="1D992975"/>
    <w:rsid w:val="1D9E30A9"/>
    <w:rsid w:val="1DA142D7"/>
    <w:rsid w:val="1DA33B45"/>
    <w:rsid w:val="1DA54EF3"/>
    <w:rsid w:val="1DAB1006"/>
    <w:rsid w:val="1DB33C11"/>
    <w:rsid w:val="1DB34347"/>
    <w:rsid w:val="1DC12FD6"/>
    <w:rsid w:val="1DC65562"/>
    <w:rsid w:val="1DCE33C5"/>
    <w:rsid w:val="1DD13720"/>
    <w:rsid w:val="1DD40512"/>
    <w:rsid w:val="1DE94164"/>
    <w:rsid w:val="1DEA13F1"/>
    <w:rsid w:val="1DEE1B11"/>
    <w:rsid w:val="1E0112F9"/>
    <w:rsid w:val="1E0D3066"/>
    <w:rsid w:val="1E146425"/>
    <w:rsid w:val="1E164B52"/>
    <w:rsid w:val="1E234B9F"/>
    <w:rsid w:val="1E273844"/>
    <w:rsid w:val="1E2F243E"/>
    <w:rsid w:val="1E377E23"/>
    <w:rsid w:val="1E3B4F6B"/>
    <w:rsid w:val="1E417896"/>
    <w:rsid w:val="1E455D19"/>
    <w:rsid w:val="1E572F32"/>
    <w:rsid w:val="1E595CAF"/>
    <w:rsid w:val="1E5B733A"/>
    <w:rsid w:val="1E5C31E8"/>
    <w:rsid w:val="1E64416A"/>
    <w:rsid w:val="1E6607F9"/>
    <w:rsid w:val="1E691070"/>
    <w:rsid w:val="1E796654"/>
    <w:rsid w:val="1E7E6BFD"/>
    <w:rsid w:val="1E805396"/>
    <w:rsid w:val="1E883E6B"/>
    <w:rsid w:val="1E884F62"/>
    <w:rsid w:val="1E9D6342"/>
    <w:rsid w:val="1E9D6D15"/>
    <w:rsid w:val="1EA77730"/>
    <w:rsid w:val="1EAF5D76"/>
    <w:rsid w:val="1EBD1EAD"/>
    <w:rsid w:val="1EC30CBB"/>
    <w:rsid w:val="1EC36E9D"/>
    <w:rsid w:val="1ECA4D4D"/>
    <w:rsid w:val="1ECD6B66"/>
    <w:rsid w:val="1EE25FDD"/>
    <w:rsid w:val="1EF5103F"/>
    <w:rsid w:val="1EFF621F"/>
    <w:rsid w:val="1F0222AB"/>
    <w:rsid w:val="1F090F9B"/>
    <w:rsid w:val="1F096428"/>
    <w:rsid w:val="1F0E5D6B"/>
    <w:rsid w:val="1F1921D7"/>
    <w:rsid w:val="1F335242"/>
    <w:rsid w:val="1F3E605E"/>
    <w:rsid w:val="1F3E662A"/>
    <w:rsid w:val="1F417C0A"/>
    <w:rsid w:val="1F482412"/>
    <w:rsid w:val="1F4F2219"/>
    <w:rsid w:val="1F5D2184"/>
    <w:rsid w:val="1F614D01"/>
    <w:rsid w:val="1F647572"/>
    <w:rsid w:val="1F721405"/>
    <w:rsid w:val="1F870E66"/>
    <w:rsid w:val="1F876076"/>
    <w:rsid w:val="1F935819"/>
    <w:rsid w:val="1F9F1A13"/>
    <w:rsid w:val="1FA076DC"/>
    <w:rsid w:val="1FA6556D"/>
    <w:rsid w:val="1FAF2571"/>
    <w:rsid w:val="1FB21D54"/>
    <w:rsid w:val="1FB7507F"/>
    <w:rsid w:val="1FC03D88"/>
    <w:rsid w:val="1FC47ECF"/>
    <w:rsid w:val="1FC55EDA"/>
    <w:rsid w:val="1FC66FF1"/>
    <w:rsid w:val="1FCE593C"/>
    <w:rsid w:val="1FD175A8"/>
    <w:rsid w:val="1FD81D98"/>
    <w:rsid w:val="1FE312AC"/>
    <w:rsid w:val="1FE34925"/>
    <w:rsid w:val="1FEC5915"/>
    <w:rsid w:val="1FED32EF"/>
    <w:rsid w:val="1FF15638"/>
    <w:rsid w:val="201743BA"/>
    <w:rsid w:val="201E6D7C"/>
    <w:rsid w:val="202432E4"/>
    <w:rsid w:val="20280BF3"/>
    <w:rsid w:val="202E2AB2"/>
    <w:rsid w:val="20355E85"/>
    <w:rsid w:val="203D340C"/>
    <w:rsid w:val="203D7ACF"/>
    <w:rsid w:val="203F0A07"/>
    <w:rsid w:val="20446081"/>
    <w:rsid w:val="204852AD"/>
    <w:rsid w:val="204E6676"/>
    <w:rsid w:val="20531417"/>
    <w:rsid w:val="205A5AA0"/>
    <w:rsid w:val="20677607"/>
    <w:rsid w:val="20685BC4"/>
    <w:rsid w:val="20773A28"/>
    <w:rsid w:val="20776154"/>
    <w:rsid w:val="208574F4"/>
    <w:rsid w:val="208C4449"/>
    <w:rsid w:val="208F6BAF"/>
    <w:rsid w:val="20966D8D"/>
    <w:rsid w:val="20A462BA"/>
    <w:rsid w:val="20BA71B3"/>
    <w:rsid w:val="20BF2AAC"/>
    <w:rsid w:val="20C245BE"/>
    <w:rsid w:val="20C6317E"/>
    <w:rsid w:val="20C849C7"/>
    <w:rsid w:val="20C96A07"/>
    <w:rsid w:val="20D51E1A"/>
    <w:rsid w:val="20D83AF9"/>
    <w:rsid w:val="20DB75CF"/>
    <w:rsid w:val="20DF66D2"/>
    <w:rsid w:val="20E5505C"/>
    <w:rsid w:val="20EC3F2E"/>
    <w:rsid w:val="20EC7C3E"/>
    <w:rsid w:val="20F16108"/>
    <w:rsid w:val="210548E9"/>
    <w:rsid w:val="21124D15"/>
    <w:rsid w:val="21133454"/>
    <w:rsid w:val="212A5BF7"/>
    <w:rsid w:val="213533EC"/>
    <w:rsid w:val="213E7119"/>
    <w:rsid w:val="214369E8"/>
    <w:rsid w:val="214B42B5"/>
    <w:rsid w:val="214D1729"/>
    <w:rsid w:val="21530058"/>
    <w:rsid w:val="216A2141"/>
    <w:rsid w:val="21774C7C"/>
    <w:rsid w:val="21810744"/>
    <w:rsid w:val="218D6EF5"/>
    <w:rsid w:val="2195668B"/>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33EAB"/>
    <w:rsid w:val="223D7545"/>
    <w:rsid w:val="22411D14"/>
    <w:rsid w:val="22423BE1"/>
    <w:rsid w:val="22454449"/>
    <w:rsid w:val="22484763"/>
    <w:rsid w:val="22500810"/>
    <w:rsid w:val="22544814"/>
    <w:rsid w:val="22557004"/>
    <w:rsid w:val="22605C74"/>
    <w:rsid w:val="226147AE"/>
    <w:rsid w:val="226210EA"/>
    <w:rsid w:val="226347BD"/>
    <w:rsid w:val="22637523"/>
    <w:rsid w:val="22682935"/>
    <w:rsid w:val="227E1569"/>
    <w:rsid w:val="227E5224"/>
    <w:rsid w:val="228A4698"/>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F277C"/>
    <w:rsid w:val="237216BA"/>
    <w:rsid w:val="23816932"/>
    <w:rsid w:val="23886A2D"/>
    <w:rsid w:val="238E2016"/>
    <w:rsid w:val="238F70F2"/>
    <w:rsid w:val="239329A2"/>
    <w:rsid w:val="239C062C"/>
    <w:rsid w:val="23A9484E"/>
    <w:rsid w:val="23B32F98"/>
    <w:rsid w:val="23B36F54"/>
    <w:rsid w:val="23B84268"/>
    <w:rsid w:val="23C5553B"/>
    <w:rsid w:val="23CD15BC"/>
    <w:rsid w:val="23D17D7B"/>
    <w:rsid w:val="23D36D91"/>
    <w:rsid w:val="23E344C7"/>
    <w:rsid w:val="23EB310D"/>
    <w:rsid w:val="23F70BA5"/>
    <w:rsid w:val="23F93D0D"/>
    <w:rsid w:val="240366A5"/>
    <w:rsid w:val="2405417E"/>
    <w:rsid w:val="240F5116"/>
    <w:rsid w:val="241B5C62"/>
    <w:rsid w:val="241C5F7B"/>
    <w:rsid w:val="241F401E"/>
    <w:rsid w:val="24280875"/>
    <w:rsid w:val="24290EAF"/>
    <w:rsid w:val="24377DB7"/>
    <w:rsid w:val="243B6F0A"/>
    <w:rsid w:val="24427A08"/>
    <w:rsid w:val="24454B90"/>
    <w:rsid w:val="24572B1C"/>
    <w:rsid w:val="2458381E"/>
    <w:rsid w:val="245872F9"/>
    <w:rsid w:val="245943D9"/>
    <w:rsid w:val="245E6B64"/>
    <w:rsid w:val="2463385E"/>
    <w:rsid w:val="247C27F7"/>
    <w:rsid w:val="248B0DC8"/>
    <w:rsid w:val="24967323"/>
    <w:rsid w:val="249817D6"/>
    <w:rsid w:val="249A4D94"/>
    <w:rsid w:val="249D5FC8"/>
    <w:rsid w:val="24A1538E"/>
    <w:rsid w:val="24AD67F4"/>
    <w:rsid w:val="24B553C5"/>
    <w:rsid w:val="24B9450F"/>
    <w:rsid w:val="24C83F94"/>
    <w:rsid w:val="24CC3EF0"/>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A35DD"/>
    <w:rsid w:val="254C7F67"/>
    <w:rsid w:val="254E66C5"/>
    <w:rsid w:val="255414CA"/>
    <w:rsid w:val="25657E8F"/>
    <w:rsid w:val="257264FC"/>
    <w:rsid w:val="25734B61"/>
    <w:rsid w:val="25745F06"/>
    <w:rsid w:val="258E7C7F"/>
    <w:rsid w:val="258F6BC4"/>
    <w:rsid w:val="25975923"/>
    <w:rsid w:val="259A3D0A"/>
    <w:rsid w:val="25A76B90"/>
    <w:rsid w:val="25A95F3E"/>
    <w:rsid w:val="25B04013"/>
    <w:rsid w:val="25B4699E"/>
    <w:rsid w:val="25B7161F"/>
    <w:rsid w:val="25B75A0F"/>
    <w:rsid w:val="25BF43FD"/>
    <w:rsid w:val="25BF6041"/>
    <w:rsid w:val="25C35718"/>
    <w:rsid w:val="25C478B3"/>
    <w:rsid w:val="25C53787"/>
    <w:rsid w:val="25CF0252"/>
    <w:rsid w:val="25D0248E"/>
    <w:rsid w:val="25D25F48"/>
    <w:rsid w:val="25D61C5C"/>
    <w:rsid w:val="25D940D6"/>
    <w:rsid w:val="25E70066"/>
    <w:rsid w:val="25EE28A7"/>
    <w:rsid w:val="25F81D70"/>
    <w:rsid w:val="25FB5636"/>
    <w:rsid w:val="25FE58A9"/>
    <w:rsid w:val="26047AC4"/>
    <w:rsid w:val="26070462"/>
    <w:rsid w:val="260C4FF0"/>
    <w:rsid w:val="260D2C45"/>
    <w:rsid w:val="26395C92"/>
    <w:rsid w:val="263F660E"/>
    <w:rsid w:val="26465DA0"/>
    <w:rsid w:val="26497858"/>
    <w:rsid w:val="264C485B"/>
    <w:rsid w:val="265A5249"/>
    <w:rsid w:val="266237C3"/>
    <w:rsid w:val="266749F2"/>
    <w:rsid w:val="267550B9"/>
    <w:rsid w:val="2696082C"/>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5530F"/>
    <w:rsid w:val="27364EE3"/>
    <w:rsid w:val="273D2762"/>
    <w:rsid w:val="27432013"/>
    <w:rsid w:val="27470B72"/>
    <w:rsid w:val="275144FC"/>
    <w:rsid w:val="27525E32"/>
    <w:rsid w:val="275E7380"/>
    <w:rsid w:val="27604751"/>
    <w:rsid w:val="27624780"/>
    <w:rsid w:val="276D7707"/>
    <w:rsid w:val="27706066"/>
    <w:rsid w:val="277419CB"/>
    <w:rsid w:val="2778582E"/>
    <w:rsid w:val="277C6107"/>
    <w:rsid w:val="277F0B43"/>
    <w:rsid w:val="27806765"/>
    <w:rsid w:val="27832596"/>
    <w:rsid w:val="278C1620"/>
    <w:rsid w:val="279B1E53"/>
    <w:rsid w:val="27AA3521"/>
    <w:rsid w:val="27AB0725"/>
    <w:rsid w:val="27AB7429"/>
    <w:rsid w:val="27B1698D"/>
    <w:rsid w:val="27B903B5"/>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500D5"/>
    <w:rsid w:val="281832D7"/>
    <w:rsid w:val="281F2BD3"/>
    <w:rsid w:val="281F4F67"/>
    <w:rsid w:val="2821452A"/>
    <w:rsid w:val="282861B6"/>
    <w:rsid w:val="28315056"/>
    <w:rsid w:val="283744B4"/>
    <w:rsid w:val="283D7337"/>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9E117F"/>
    <w:rsid w:val="28AC1711"/>
    <w:rsid w:val="28BE71CB"/>
    <w:rsid w:val="28C927D1"/>
    <w:rsid w:val="28C96C14"/>
    <w:rsid w:val="28CD627E"/>
    <w:rsid w:val="28D04F68"/>
    <w:rsid w:val="28E138E3"/>
    <w:rsid w:val="28E74216"/>
    <w:rsid w:val="28E87EE4"/>
    <w:rsid w:val="2903396A"/>
    <w:rsid w:val="29087976"/>
    <w:rsid w:val="290B654D"/>
    <w:rsid w:val="290E6CE7"/>
    <w:rsid w:val="29124309"/>
    <w:rsid w:val="2921752E"/>
    <w:rsid w:val="29247109"/>
    <w:rsid w:val="294E766A"/>
    <w:rsid w:val="29513848"/>
    <w:rsid w:val="296B203C"/>
    <w:rsid w:val="297161D3"/>
    <w:rsid w:val="297510B4"/>
    <w:rsid w:val="2978319A"/>
    <w:rsid w:val="29886D49"/>
    <w:rsid w:val="29897A2F"/>
    <w:rsid w:val="299436D0"/>
    <w:rsid w:val="29A02DFF"/>
    <w:rsid w:val="29A3014B"/>
    <w:rsid w:val="29A74CBD"/>
    <w:rsid w:val="29A80BF5"/>
    <w:rsid w:val="29B01C34"/>
    <w:rsid w:val="29B16357"/>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394530"/>
    <w:rsid w:val="2A405845"/>
    <w:rsid w:val="2A45641B"/>
    <w:rsid w:val="2A477CE9"/>
    <w:rsid w:val="2A496A6F"/>
    <w:rsid w:val="2A4C39E2"/>
    <w:rsid w:val="2A4D593F"/>
    <w:rsid w:val="2A576A6E"/>
    <w:rsid w:val="2A58319D"/>
    <w:rsid w:val="2A5C6B8D"/>
    <w:rsid w:val="2A601B8C"/>
    <w:rsid w:val="2A627FCF"/>
    <w:rsid w:val="2A6E31F8"/>
    <w:rsid w:val="2A704730"/>
    <w:rsid w:val="2A836D08"/>
    <w:rsid w:val="2A87174E"/>
    <w:rsid w:val="2A8A2F9C"/>
    <w:rsid w:val="2A904116"/>
    <w:rsid w:val="2A9845F0"/>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14776"/>
    <w:rsid w:val="2B2843BE"/>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A506E"/>
    <w:rsid w:val="2B8B422C"/>
    <w:rsid w:val="2BA07D38"/>
    <w:rsid w:val="2BB55019"/>
    <w:rsid w:val="2BC40957"/>
    <w:rsid w:val="2BC628A0"/>
    <w:rsid w:val="2BCB5DAA"/>
    <w:rsid w:val="2BD65380"/>
    <w:rsid w:val="2BE65E96"/>
    <w:rsid w:val="2BE725D0"/>
    <w:rsid w:val="2BE838DD"/>
    <w:rsid w:val="2BF369B9"/>
    <w:rsid w:val="2BFC0A4A"/>
    <w:rsid w:val="2C094904"/>
    <w:rsid w:val="2C0B3FCA"/>
    <w:rsid w:val="2C0E55A1"/>
    <w:rsid w:val="2C1C1B17"/>
    <w:rsid w:val="2C210873"/>
    <w:rsid w:val="2C343611"/>
    <w:rsid w:val="2C3A7BF6"/>
    <w:rsid w:val="2C425BCE"/>
    <w:rsid w:val="2C44676A"/>
    <w:rsid w:val="2C485295"/>
    <w:rsid w:val="2C495BE4"/>
    <w:rsid w:val="2C495C38"/>
    <w:rsid w:val="2C4A080C"/>
    <w:rsid w:val="2C4B79EC"/>
    <w:rsid w:val="2C54533B"/>
    <w:rsid w:val="2C591378"/>
    <w:rsid w:val="2C677A31"/>
    <w:rsid w:val="2C716FB7"/>
    <w:rsid w:val="2C770676"/>
    <w:rsid w:val="2C797A76"/>
    <w:rsid w:val="2C8F4862"/>
    <w:rsid w:val="2C911716"/>
    <w:rsid w:val="2C9E5AC8"/>
    <w:rsid w:val="2CA2721B"/>
    <w:rsid w:val="2CAC6D87"/>
    <w:rsid w:val="2CB21B75"/>
    <w:rsid w:val="2CB600FC"/>
    <w:rsid w:val="2CE079AD"/>
    <w:rsid w:val="2CE8526F"/>
    <w:rsid w:val="2CEC353A"/>
    <w:rsid w:val="2CEF21C5"/>
    <w:rsid w:val="2CFC2C64"/>
    <w:rsid w:val="2D015187"/>
    <w:rsid w:val="2D026315"/>
    <w:rsid w:val="2D03083C"/>
    <w:rsid w:val="2D036C68"/>
    <w:rsid w:val="2D0764BD"/>
    <w:rsid w:val="2D086672"/>
    <w:rsid w:val="2D0B3169"/>
    <w:rsid w:val="2D0D4219"/>
    <w:rsid w:val="2D115C7A"/>
    <w:rsid w:val="2D1E0AF2"/>
    <w:rsid w:val="2D271D68"/>
    <w:rsid w:val="2D274320"/>
    <w:rsid w:val="2D2D2DE2"/>
    <w:rsid w:val="2D321869"/>
    <w:rsid w:val="2D324CCC"/>
    <w:rsid w:val="2D334274"/>
    <w:rsid w:val="2D340E86"/>
    <w:rsid w:val="2D356AB0"/>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A23D5C"/>
    <w:rsid w:val="2DB872E3"/>
    <w:rsid w:val="2DC66A91"/>
    <w:rsid w:val="2DC92AA1"/>
    <w:rsid w:val="2DCE5F69"/>
    <w:rsid w:val="2DDD4F0A"/>
    <w:rsid w:val="2DEC48AC"/>
    <w:rsid w:val="2DFE0184"/>
    <w:rsid w:val="2E063012"/>
    <w:rsid w:val="2E125241"/>
    <w:rsid w:val="2E1432DA"/>
    <w:rsid w:val="2E1F0CF7"/>
    <w:rsid w:val="2E3118D8"/>
    <w:rsid w:val="2E34792A"/>
    <w:rsid w:val="2E437E73"/>
    <w:rsid w:val="2E5034DC"/>
    <w:rsid w:val="2E572AB9"/>
    <w:rsid w:val="2E573D14"/>
    <w:rsid w:val="2E614626"/>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D53442"/>
    <w:rsid w:val="2EDD7896"/>
    <w:rsid w:val="2EDF2ECD"/>
    <w:rsid w:val="2EEA6E65"/>
    <w:rsid w:val="2EF33C7C"/>
    <w:rsid w:val="2EF66AA8"/>
    <w:rsid w:val="2F00052B"/>
    <w:rsid w:val="2F0367CD"/>
    <w:rsid w:val="2F0B683E"/>
    <w:rsid w:val="2F1251F2"/>
    <w:rsid w:val="2F183841"/>
    <w:rsid w:val="2F1B08DB"/>
    <w:rsid w:val="2F237D44"/>
    <w:rsid w:val="2F2D445E"/>
    <w:rsid w:val="2F2F2950"/>
    <w:rsid w:val="2F4F6FBB"/>
    <w:rsid w:val="2F664E2B"/>
    <w:rsid w:val="2F6C7BE3"/>
    <w:rsid w:val="2F715580"/>
    <w:rsid w:val="2F783485"/>
    <w:rsid w:val="2F7F5C0B"/>
    <w:rsid w:val="2F9D2881"/>
    <w:rsid w:val="2FA6492D"/>
    <w:rsid w:val="2FC43715"/>
    <w:rsid w:val="2FC86676"/>
    <w:rsid w:val="2FD12962"/>
    <w:rsid w:val="2FD150ED"/>
    <w:rsid w:val="2FD17A1B"/>
    <w:rsid w:val="2FD71CA4"/>
    <w:rsid w:val="2FDA1416"/>
    <w:rsid w:val="2FDC4A8D"/>
    <w:rsid w:val="2FDE43D5"/>
    <w:rsid w:val="2FEE50B1"/>
    <w:rsid w:val="2FF93066"/>
    <w:rsid w:val="301A71CE"/>
    <w:rsid w:val="301C3E88"/>
    <w:rsid w:val="301E049B"/>
    <w:rsid w:val="302A4BE6"/>
    <w:rsid w:val="303C7735"/>
    <w:rsid w:val="304117E8"/>
    <w:rsid w:val="304478EC"/>
    <w:rsid w:val="30515C8E"/>
    <w:rsid w:val="306C64E5"/>
    <w:rsid w:val="3074524A"/>
    <w:rsid w:val="308A573E"/>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51E91"/>
    <w:rsid w:val="310B0487"/>
    <w:rsid w:val="310C576F"/>
    <w:rsid w:val="310E6387"/>
    <w:rsid w:val="311611B3"/>
    <w:rsid w:val="311A6C35"/>
    <w:rsid w:val="3122588D"/>
    <w:rsid w:val="31333AA3"/>
    <w:rsid w:val="313C313D"/>
    <w:rsid w:val="313F6DC6"/>
    <w:rsid w:val="31431170"/>
    <w:rsid w:val="314742C0"/>
    <w:rsid w:val="314E236F"/>
    <w:rsid w:val="315A40C3"/>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20333"/>
    <w:rsid w:val="31B718F2"/>
    <w:rsid w:val="31B7224A"/>
    <w:rsid w:val="31C819E4"/>
    <w:rsid w:val="31C916F7"/>
    <w:rsid w:val="31D20051"/>
    <w:rsid w:val="31D54649"/>
    <w:rsid w:val="31DB0E08"/>
    <w:rsid w:val="31E65051"/>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A52AA"/>
    <w:rsid w:val="327D43E5"/>
    <w:rsid w:val="328F5534"/>
    <w:rsid w:val="329A6ACE"/>
    <w:rsid w:val="32A145CA"/>
    <w:rsid w:val="32A230DB"/>
    <w:rsid w:val="32BB0394"/>
    <w:rsid w:val="32CE7F7A"/>
    <w:rsid w:val="32D9350A"/>
    <w:rsid w:val="32DF351E"/>
    <w:rsid w:val="32EE5E41"/>
    <w:rsid w:val="32F40F87"/>
    <w:rsid w:val="32F549ED"/>
    <w:rsid w:val="32FD7C76"/>
    <w:rsid w:val="330C22FC"/>
    <w:rsid w:val="33277E81"/>
    <w:rsid w:val="33304A5C"/>
    <w:rsid w:val="33404DED"/>
    <w:rsid w:val="334D63FF"/>
    <w:rsid w:val="33540E5D"/>
    <w:rsid w:val="33575633"/>
    <w:rsid w:val="33587D60"/>
    <w:rsid w:val="335A0521"/>
    <w:rsid w:val="335E7B11"/>
    <w:rsid w:val="336032E8"/>
    <w:rsid w:val="336342BE"/>
    <w:rsid w:val="3364318B"/>
    <w:rsid w:val="33691888"/>
    <w:rsid w:val="336A499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ED2B2C"/>
    <w:rsid w:val="33FB4AD5"/>
    <w:rsid w:val="33FE62E7"/>
    <w:rsid w:val="34003F5F"/>
    <w:rsid w:val="34006544"/>
    <w:rsid w:val="34080399"/>
    <w:rsid w:val="340D25F6"/>
    <w:rsid w:val="341E0A7E"/>
    <w:rsid w:val="34216BA7"/>
    <w:rsid w:val="3429226D"/>
    <w:rsid w:val="342B76C7"/>
    <w:rsid w:val="34341A95"/>
    <w:rsid w:val="343A1527"/>
    <w:rsid w:val="34402B3F"/>
    <w:rsid w:val="34447898"/>
    <w:rsid w:val="344E62FA"/>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EA71C7"/>
    <w:rsid w:val="34F34951"/>
    <w:rsid w:val="350B42D5"/>
    <w:rsid w:val="350F6258"/>
    <w:rsid w:val="351A603C"/>
    <w:rsid w:val="352821F6"/>
    <w:rsid w:val="3529421E"/>
    <w:rsid w:val="3533698A"/>
    <w:rsid w:val="35387F19"/>
    <w:rsid w:val="3539550B"/>
    <w:rsid w:val="35533061"/>
    <w:rsid w:val="35553BD3"/>
    <w:rsid w:val="356678B4"/>
    <w:rsid w:val="356F0F35"/>
    <w:rsid w:val="3573649F"/>
    <w:rsid w:val="357E4B0A"/>
    <w:rsid w:val="35866D7F"/>
    <w:rsid w:val="358F6BDF"/>
    <w:rsid w:val="359166D4"/>
    <w:rsid w:val="35C06D50"/>
    <w:rsid w:val="35CA3D9E"/>
    <w:rsid w:val="35CD6F14"/>
    <w:rsid w:val="35CF5019"/>
    <w:rsid w:val="35D24294"/>
    <w:rsid w:val="35D71152"/>
    <w:rsid w:val="35D963E6"/>
    <w:rsid w:val="35DC736B"/>
    <w:rsid w:val="35EA5633"/>
    <w:rsid w:val="35ED4C4F"/>
    <w:rsid w:val="35F13CA9"/>
    <w:rsid w:val="35F23B39"/>
    <w:rsid w:val="35FF6F3C"/>
    <w:rsid w:val="36021B75"/>
    <w:rsid w:val="36075F27"/>
    <w:rsid w:val="36121506"/>
    <w:rsid w:val="361A62E3"/>
    <w:rsid w:val="361D621A"/>
    <w:rsid w:val="361D7A43"/>
    <w:rsid w:val="361F3323"/>
    <w:rsid w:val="363B4A32"/>
    <w:rsid w:val="36402EFA"/>
    <w:rsid w:val="36496A51"/>
    <w:rsid w:val="36514C80"/>
    <w:rsid w:val="365623F6"/>
    <w:rsid w:val="36703B69"/>
    <w:rsid w:val="36820DFD"/>
    <w:rsid w:val="368230C6"/>
    <w:rsid w:val="36843A03"/>
    <w:rsid w:val="36856059"/>
    <w:rsid w:val="368D1751"/>
    <w:rsid w:val="368E7248"/>
    <w:rsid w:val="368F7E4F"/>
    <w:rsid w:val="36985297"/>
    <w:rsid w:val="369F633B"/>
    <w:rsid w:val="36A30FDB"/>
    <w:rsid w:val="36A7007C"/>
    <w:rsid w:val="36B24AE8"/>
    <w:rsid w:val="36BD0DC4"/>
    <w:rsid w:val="36D51D00"/>
    <w:rsid w:val="36D66B5E"/>
    <w:rsid w:val="36D94FAB"/>
    <w:rsid w:val="36E62234"/>
    <w:rsid w:val="36E64E5D"/>
    <w:rsid w:val="36E73971"/>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4B3251"/>
    <w:rsid w:val="37503E6C"/>
    <w:rsid w:val="3758590A"/>
    <w:rsid w:val="375E77B2"/>
    <w:rsid w:val="37602E60"/>
    <w:rsid w:val="37633FAC"/>
    <w:rsid w:val="376714F2"/>
    <w:rsid w:val="378229A7"/>
    <w:rsid w:val="3784394E"/>
    <w:rsid w:val="37856510"/>
    <w:rsid w:val="37944D89"/>
    <w:rsid w:val="37987437"/>
    <w:rsid w:val="379F33FC"/>
    <w:rsid w:val="37A432E4"/>
    <w:rsid w:val="37A86196"/>
    <w:rsid w:val="37B173A7"/>
    <w:rsid w:val="37C94031"/>
    <w:rsid w:val="37CA042E"/>
    <w:rsid w:val="37D0180C"/>
    <w:rsid w:val="37D44549"/>
    <w:rsid w:val="37D77B09"/>
    <w:rsid w:val="37D97EDE"/>
    <w:rsid w:val="37DF2F93"/>
    <w:rsid w:val="37E17820"/>
    <w:rsid w:val="37E76E34"/>
    <w:rsid w:val="37FE02EA"/>
    <w:rsid w:val="380D02B1"/>
    <w:rsid w:val="380F1889"/>
    <w:rsid w:val="38137C9C"/>
    <w:rsid w:val="381F4DE1"/>
    <w:rsid w:val="382B1BDF"/>
    <w:rsid w:val="382E392C"/>
    <w:rsid w:val="38342E90"/>
    <w:rsid w:val="384B7332"/>
    <w:rsid w:val="385056AF"/>
    <w:rsid w:val="38505C1D"/>
    <w:rsid w:val="38593C76"/>
    <w:rsid w:val="3864257F"/>
    <w:rsid w:val="386A7142"/>
    <w:rsid w:val="38706DCB"/>
    <w:rsid w:val="38761AD8"/>
    <w:rsid w:val="38784056"/>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1A3359"/>
    <w:rsid w:val="39243950"/>
    <w:rsid w:val="39285D57"/>
    <w:rsid w:val="39305263"/>
    <w:rsid w:val="394168EE"/>
    <w:rsid w:val="394303B9"/>
    <w:rsid w:val="394B6470"/>
    <w:rsid w:val="395B1104"/>
    <w:rsid w:val="395C6EA8"/>
    <w:rsid w:val="39747EC7"/>
    <w:rsid w:val="39872512"/>
    <w:rsid w:val="39A602F9"/>
    <w:rsid w:val="39BD45C8"/>
    <w:rsid w:val="39C2316A"/>
    <w:rsid w:val="39D733F3"/>
    <w:rsid w:val="39D87563"/>
    <w:rsid w:val="39E8110F"/>
    <w:rsid w:val="39F36281"/>
    <w:rsid w:val="39F81192"/>
    <w:rsid w:val="39FD376D"/>
    <w:rsid w:val="39FD6C9C"/>
    <w:rsid w:val="39FF676A"/>
    <w:rsid w:val="3A0224B9"/>
    <w:rsid w:val="3A03424C"/>
    <w:rsid w:val="3A16728B"/>
    <w:rsid w:val="3A16794C"/>
    <w:rsid w:val="3A1F6809"/>
    <w:rsid w:val="3A226969"/>
    <w:rsid w:val="3A286675"/>
    <w:rsid w:val="3A2D64E9"/>
    <w:rsid w:val="3A3F47CE"/>
    <w:rsid w:val="3A4E1C5D"/>
    <w:rsid w:val="3A523735"/>
    <w:rsid w:val="3A557AE4"/>
    <w:rsid w:val="3A5F0BE3"/>
    <w:rsid w:val="3A613D40"/>
    <w:rsid w:val="3A6B0F84"/>
    <w:rsid w:val="3A727435"/>
    <w:rsid w:val="3A813EA6"/>
    <w:rsid w:val="3A94055A"/>
    <w:rsid w:val="3AB00167"/>
    <w:rsid w:val="3ABC496A"/>
    <w:rsid w:val="3AC17E3A"/>
    <w:rsid w:val="3AC4083B"/>
    <w:rsid w:val="3ACB5746"/>
    <w:rsid w:val="3ACD76A7"/>
    <w:rsid w:val="3ACE209E"/>
    <w:rsid w:val="3ACF1A69"/>
    <w:rsid w:val="3AD14283"/>
    <w:rsid w:val="3ADD2B05"/>
    <w:rsid w:val="3AE417E3"/>
    <w:rsid w:val="3AE440AF"/>
    <w:rsid w:val="3AEE0E24"/>
    <w:rsid w:val="3AF16E6C"/>
    <w:rsid w:val="3AF7667E"/>
    <w:rsid w:val="3B0007ED"/>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2292F"/>
    <w:rsid w:val="3B63785C"/>
    <w:rsid w:val="3B707794"/>
    <w:rsid w:val="3B751B9A"/>
    <w:rsid w:val="3B773A0C"/>
    <w:rsid w:val="3B7804A3"/>
    <w:rsid w:val="3B8443B3"/>
    <w:rsid w:val="3B8E2153"/>
    <w:rsid w:val="3B95464E"/>
    <w:rsid w:val="3B9B2072"/>
    <w:rsid w:val="3B9F07E0"/>
    <w:rsid w:val="3BA03B83"/>
    <w:rsid w:val="3BA34296"/>
    <w:rsid w:val="3BA94872"/>
    <w:rsid w:val="3BB20883"/>
    <w:rsid w:val="3BC05BA8"/>
    <w:rsid w:val="3BC34E75"/>
    <w:rsid w:val="3BCB270F"/>
    <w:rsid w:val="3BD96AA6"/>
    <w:rsid w:val="3BDB182F"/>
    <w:rsid w:val="3BDD02BD"/>
    <w:rsid w:val="3BED002E"/>
    <w:rsid w:val="3C012D01"/>
    <w:rsid w:val="3C0429BF"/>
    <w:rsid w:val="3C1618F8"/>
    <w:rsid w:val="3C1A201A"/>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CE76D5"/>
    <w:rsid w:val="3CD5097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A52804"/>
    <w:rsid w:val="3DB34E86"/>
    <w:rsid w:val="3DBC76CC"/>
    <w:rsid w:val="3DCF7004"/>
    <w:rsid w:val="3DDA4B31"/>
    <w:rsid w:val="3DDB67AE"/>
    <w:rsid w:val="3DE90C78"/>
    <w:rsid w:val="3DED0F96"/>
    <w:rsid w:val="3DF95812"/>
    <w:rsid w:val="3DFD28B5"/>
    <w:rsid w:val="3E0E7021"/>
    <w:rsid w:val="3E1D4B24"/>
    <w:rsid w:val="3E204782"/>
    <w:rsid w:val="3E2B1325"/>
    <w:rsid w:val="3E374A6D"/>
    <w:rsid w:val="3E3A04FA"/>
    <w:rsid w:val="3E3B1403"/>
    <w:rsid w:val="3E3D6B96"/>
    <w:rsid w:val="3E441C7D"/>
    <w:rsid w:val="3E490256"/>
    <w:rsid w:val="3E4C47D8"/>
    <w:rsid w:val="3E4E163C"/>
    <w:rsid w:val="3E4E39E8"/>
    <w:rsid w:val="3E4E3E8B"/>
    <w:rsid w:val="3E536679"/>
    <w:rsid w:val="3E55739E"/>
    <w:rsid w:val="3E557A55"/>
    <w:rsid w:val="3E5E28E2"/>
    <w:rsid w:val="3E6C43C8"/>
    <w:rsid w:val="3E7B660F"/>
    <w:rsid w:val="3E8227F0"/>
    <w:rsid w:val="3E8316FA"/>
    <w:rsid w:val="3E900915"/>
    <w:rsid w:val="3E9055C8"/>
    <w:rsid w:val="3E937F82"/>
    <w:rsid w:val="3E9A1443"/>
    <w:rsid w:val="3E9B4B40"/>
    <w:rsid w:val="3EB71AC8"/>
    <w:rsid w:val="3EB93EF6"/>
    <w:rsid w:val="3EC71336"/>
    <w:rsid w:val="3EC85E34"/>
    <w:rsid w:val="3ECF2AAC"/>
    <w:rsid w:val="3ED0424C"/>
    <w:rsid w:val="3ED07B7E"/>
    <w:rsid w:val="3ED16FB1"/>
    <w:rsid w:val="3EDA522E"/>
    <w:rsid w:val="3EE63AC0"/>
    <w:rsid w:val="3EEB4E5A"/>
    <w:rsid w:val="3EF31E7F"/>
    <w:rsid w:val="3EF36DF0"/>
    <w:rsid w:val="3EFB0134"/>
    <w:rsid w:val="3F0110D6"/>
    <w:rsid w:val="3F035EE1"/>
    <w:rsid w:val="3F053EF6"/>
    <w:rsid w:val="3F093188"/>
    <w:rsid w:val="3F173F6B"/>
    <w:rsid w:val="3F1E1DE8"/>
    <w:rsid w:val="3F21268A"/>
    <w:rsid w:val="3F253B0C"/>
    <w:rsid w:val="3F2C04C4"/>
    <w:rsid w:val="3F345272"/>
    <w:rsid w:val="3F374FF9"/>
    <w:rsid w:val="3F3E7C9F"/>
    <w:rsid w:val="3F416B99"/>
    <w:rsid w:val="3F4F5AD7"/>
    <w:rsid w:val="3F6250B6"/>
    <w:rsid w:val="3F643908"/>
    <w:rsid w:val="3F6A0167"/>
    <w:rsid w:val="3F6B75A6"/>
    <w:rsid w:val="3F846BE9"/>
    <w:rsid w:val="3F8C0A49"/>
    <w:rsid w:val="3F8E7DCD"/>
    <w:rsid w:val="3F913853"/>
    <w:rsid w:val="3F9660C3"/>
    <w:rsid w:val="3F9724DD"/>
    <w:rsid w:val="3FA72973"/>
    <w:rsid w:val="3FA827ED"/>
    <w:rsid w:val="3FAA4B03"/>
    <w:rsid w:val="3FB45C58"/>
    <w:rsid w:val="3FC36557"/>
    <w:rsid w:val="3FC956FF"/>
    <w:rsid w:val="3FCA4020"/>
    <w:rsid w:val="3FD13F50"/>
    <w:rsid w:val="3FD858EB"/>
    <w:rsid w:val="3FDC5F31"/>
    <w:rsid w:val="3FE04625"/>
    <w:rsid w:val="3FE324B0"/>
    <w:rsid w:val="3FE86CE8"/>
    <w:rsid w:val="3FF00BEA"/>
    <w:rsid w:val="3FFB0F66"/>
    <w:rsid w:val="3FFF1489"/>
    <w:rsid w:val="40146E6B"/>
    <w:rsid w:val="402C6E5E"/>
    <w:rsid w:val="402D4C90"/>
    <w:rsid w:val="403052F1"/>
    <w:rsid w:val="40321098"/>
    <w:rsid w:val="40330D29"/>
    <w:rsid w:val="40341B69"/>
    <w:rsid w:val="404469FD"/>
    <w:rsid w:val="404638CD"/>
    <w:rsid w:val="404A2717"/>
    <w:rsid w:val="404E779F"/>
    <w:rsid w:val="40530E08"/>
    <w:rsid w:val="4059090D"/>
    <w:rsid w:val="40620A2E"/>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765A6"/>
    <w:rsid w:val="41094347"/>
    <w:rsid w:val="41096BC0"/>
    <w:rsid w:val="410A75B6"/>
    <w:rsid w:val="410B452A"/>
    <w:rsid w:val="411023A3"/>
    <w:rsid w:val="411251DD"/>
    <w:rsid w:val="41146D26"/>
    <w:rsid w:val="411D1161"/>
    <w:rsid w:val="413353F1"/>
    <w:rsid w:val="4137558E"/>
    <w:rsid w:val="4146047F"/>
    <w:rsid w:val="41513BC9"/>
    <w:rsid w:val="416B4DCF"/>
    <w:rsid w:val="41735B7F"/>
    <w:rsid w:val="41810E86"/>
    <w:rsid w:val="41850830"/>
    <w:rsid w:val="4185372F"/>
    <w:rsid w:val="419658B5"/>
    <w:rsid w:val="419868AD"/>
    <w:rsid w:val="419D68B4"/>
    <w:rsid w:val="419E60D3"/>
    <w:rsid w:val="41A339F5"/>
    <w:rsid w:val="41A36C7E"/>
    <w:rsid w:val="41A40141"/>
    <w:rsid w:val="41B928D7"/>
    <w:rsid w:val="41BA3A2C"/>
    <w:rsid w:val="41BB3AE7"/>
    <w:rsid w:val="41C54A1A"/>
    <w:rsid w:val="41C93F6C"/>
    <w:rsid w:val="41D540E6"/>
    <w:rsid w:val="41D71584"/>
    <w:rsid w:val="41D75714"/>
    <w:rsid w:val="41DD3BC3"/>
    <w:rsid w:val="41DE47A6"/>
    <w:rsid w:val="41E0049A"/>
    <w:rsid w:val="41E974A1"/>
    <w:rsid w:val="41EE2F03"/>
    <w:rsid w:val="41F466FD"/>
    <w:rsid w:val="41F62234"/>
    <w:rsid w:val="42002BC7"/>
    <w:rsid w:val="42026B03"/>
    <w:rsid w:val="420A64B5"/>
    <w:rsid w:val="420D197F"/>
    <w:rsid w:val="42127B33"/>
    <w:rsid w:val="4215519C"/>
    <w:rsid w:val="42187EBE"/>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882BF7"/>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06B69"/>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F6B54"/>
    <w:rsid w:val="4346543A"/>
    <w:rsid w:val="434B65FD"/>
    <w:rsid w:val="43533E29"/>
    <w:rsid w:val="435B1259"/>
    <w:rsid w:val="435C61C5"/>
    <w:rsid w:val="436263D5"/>
    <w:rsid w:val="437556C4"/>
    <w:rsid w:val="437C4A8F"/>
    <w:rsid w:val="43874CD4"/>
    <w:rsid w:val="439B699F"/>
    <w:rsid w:val="43AF2D32"/>
    <w:rsid w:val="43B76E4F"/>
    <w:rsid w:val="43CF0206"/>
    <w:rsid w:val="43D178FC"/>
    <w:rsid w:val="43D85D6D"/>
    <w:rsid w:val="43EC6F1F"/>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A21C5"/>
    <w:rsid w:val="447E4EBE"/>
    <w:rsid w:val="447F0CBA"/>
    <w:rsid w:val="448226F3"/>
    <w:rsid w:val="448736FC"/>
    <w:rsid w:val="44957F46"/>
    <w:rsid w:val="44994CF5"/>
    <w:rsid w:val="449E5AEC"/>
    <w:rsid w:val="449F21F7"/>
    <w:rsid w:val="44A75707"/>
    <w:rsid w:val="44CC46BA"/>
    <w:rsid w:val="44DC46EB"/>
    <w:rsid w:val="44E8312D"/>
    <w:rsid w:val="44EA6491"/>
    <w:rsid w:val="44F03F8F"/>
    <w:rsid w:val="44F14ECF"/>
    <w:rsid w:val="451837D5"/>
    <w:rsid w:val="451A120C"/>
    <w:rsid w:val="451C7473"/>
    <w:rsid w:val="45275172"/>
    <w:rsid w:val="45306C84"/>
    <w:rsid w:val="45307C4F"/>
    <w:rsid w:val="45332511"/>
    <w:rsid w:val="453F44DA"/>
    <w:rsid w:val="45412391"/>
    <w:rsid w:val="45412C46"/>
    <w:rsid w:val="45415434"/>
    <w:rsid w:val="454316E5"/>
    <w:rsid w:val="45440AD0"/>
    <w:rsid w:val="454A3E13"/>
    <w:rsid w:val="45514AD5"/>
    <w:rsid w:val="4552412E"/>
    <w:rsid w:val="455908C0"/>
    <w:rsid w:val="455F2D1C"/>
    <w:rsid w:val="457002F0"/>
    <w:rsid w:val="45743BE6"/>
    <w:rsid w:val="4575513B"/>
    <w:rsid w:val="45761EDD"/>
    <w:rsid w:val="45773005"/>
    <w:rsid w:val="457875F6"/>
    <w:rsid w:val="457A7286"/>
    <w:rsid w:val="457B06AA"/>
    <w:rsid w:val="457C7D39"/>
    <w:rsid w:val="458667C4"/>
    <w:rsid w:val="458F3F2F"/>
    <w:rsid w:val="458F5163"/>
    <w:rsid w:val="459206E5"/>
    <w:rsid w:val="45940009"/>
    <w:rsid w:val="459405E3"/>
    <w:rsid w:val="459C5A47"/>
    <w:rsid w:val="45A5284F"/>
    <w:rsid w:val="45A82F38"/>
    <w:rsid w:val="45B047D1"/>
    <w:rsid w:val="45B16962"/>
    <w:rsid w:val="45B25F2C"/>
    <w:rsid w:val="45B86B4C"/>
    <w:rsid w:val="45BE6191"/>
    <w:rsid w:val="45BE648C"/>
    <w:rsid w:val="45C661BC"/>
    <w:rsid w:val="45CA082F"/>
    <w:rsid w:val="45CD2126"/>
    <w:rsid w:val="45CD75F1"/>
    <w:rsid w:val="45D2713B"/>
    <w:rsid w:val="45D54658"/>
    <w:rsid w:val="45DD738A"/>
    <w:rsid w:val="45E372CD"/>
    <w:rsid w:val="45E72859"/>
    <w:rsid w:val="45F83AA7"/>
    <w:rsid w:val="45FB2D6A"/>
    <w:rsid w:val="460C5979"/>
    <w:rsid w:val="46110AB3"/>
    <w:rsid w:val="46143B66"/>
    <w:rsid w:val="4615371C"/>
    <w:rsid w:val="461C2728"/>
    <w:rsid w:val="461D3EDA"/>
    <w:rsid w:val="462066D5"/>
    <w:rsid w:val="46214325"/>
    <w:rsid w:val="46251EA4"/>
    <w:rsid w:val="463246EC"/>
    <w:rsid w:val="463425D3"/>
    <w:rsid w:val="463A3547"/>
    <w:rsid w:val="463F2211"/>
    <w:rsid w:val="464514F3"/>
    <w:rsid w:val="46486B9C"/>
    <w:rsid w:val="46496045"/>
    <w:rsid w:val="464B28C8"/>
    <w:rsid w:val="464E0973"/>
    <w:rsid w:val="46555DC3"/>
    <w:rsid w:val="46560D65"/>
    <w:rsid w:val="46617DB2"/>
    <w:rsid w:val="46621065"/>
    <w:rsid w:val="46665198"/>
    <w:rsid w:val="46697236"/>
    <w:rsid w:val="46770F8B"/>
    <w:rsid w:val="467C16FA"/>
    <w:rsid w:val="467C28B2"/>
    <w:rsid w:val="46831AE2"/>
    <w:rsid w:val="46885E2A"/>
    <w:rsid w:val="46894B18"/>
    <w:rsid w:val="469448C6"/>
    <w:rsid w:val="46953B12"/>
    <w:rsid w:val="469965DF"/>
    <w:rsid w:val="469A1E62"/>
    <w:rsid w:val="46AB0067"/>
    <w:rsid w:val="46B80AF8"/>
    <w:rsid w:val="46C60C41"/>
    <w:rsid w:val="46CD0AAD"/>
    <w:rsid w:val="46D3223B"/>
    <w:rsid w:val="46D37F0B"/>
    <w:rsid w:val="46D71533"/>
    <w:rsid w:val="46E53335"/>
    <w:rsid w:val="46ED5319"/>
    <w:rsid w:val="46FF5C70"/>
    <w:rsid w:val="47155D89"/>
    <w:rsid w:val="471A29EE"/>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9F5168"/>
    <w:rsid w:val="47A3609D"/>
    <w:rsid w:val="47B337EE"/>
    <w:rsid w:val="47B52288"/>
    <w:rsid w:val="47C01792"/>
    <w:rsid w:val="47C57A48"/>
    <w:rsid w:val="47D511BD"/>
    <w:rsid w:val="47DB65F6"/>
    <w:rsid w:val="47DD11F5"/>
    <w:rsid w:val="47ED307F"/>
    <w:rsid w:val="48020DE8"/>
    <w:rsid w:val="4808150F"/>
    <w:rsid w:val="480F51A8"/>
    <w:rsid w:val="481C1B4F"/>
    <w:rsid w:val="48256B1B"/>
    <w:rsid w:val="482714E0"/>
    <w:rsid w:val="48282713"/>
    <w:rsid w:val="483914BE"/>
    <w:rsid w:val="484417FA"/>
    <w:rsid w:val="48450ECE"/>
    <w:rsid w:val="484759CD"/>
    <w:rsid w:val="484B14EC"/>
    <w:rsid w:val="485340E7"/>
    <w:rsid w:val="48602710"/>
    <w:rsid w:val="48713351"/>
    <w:rsid w:val="487620DF"/>
    <w:rsid w:val="487A2378"/>
    <w:rsid w:val="48802846"/>
    <w:rsid w:val="488260F9"/>
    <w:rsid w:val="48850157"/>
    <w:rsid w:val="48911A35"/>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87030"/>
    <w:rsid w:val="493D7C9D"/>
    <w:rsid w:val="493E2F78"/>
    <w:rsid w:val="494049CC"/>
    <w:rsid w:val="49411EAF"/>
    <w:rsid w:val="494D208D"/>
    <w:rsid w:val="495217DF"/>
    <w:rsid w:val="49572F75"/>
    <w:rsid w:val="4958367A"/>
    <w:rsid w:val="495A044A"/>
    <w:rsid w:val="496D01F5"/>
    <w:rsid w:val="497206BF"/>
    <w:rsid w:val="497C7C92"/>
    <w:rsid w:val="498817B3"/>
    <w:rsid w:val="498A16CD"/>
    <w:rsid w:val="499C7517"/>
    <w:rsid w:val="49A14359"/>
    <w:rsid w:val="49A33C27"/>
    <w:rsid w:val="49A750B5"/>
    <w:rsid w:val="49AB1A6B"/>
    <w:rsid w:val="49B358F8"/>
    <w:rsid w:val="49BE07DA"/>
    <w:rsid w:val="49C62636"/>
    <w:rsid w:val="49C84AA0"/>
    <w:rsid w:val="49CE3923"/>
    <w:rsid w:val="49CF11BE"/>
    <w:rsid w:val="49D7694D"/>
    <w:rsid w:val="49E234CC"/>
    <w:rsid w:val="49EC3531"/>
    <w:rsid w:val="49F152D3"/>
    <w:rsid w:val="49F8312B"/>
    <w:rsid w:val="4A0244D3"/>
    <w:rsid w:val="4A0B3920"/>
    <w:rsid w:val="4A255046"/>
    <w:rsid w:val="4A262CA0"/>
    <w:rsid w:val="4A276433"/>
    <w:rsid w:val="4A2A6DB1"/>
    <w:rsid w:val="4A2E1525"/>
    <w:rsid w:val="4A3D3E88"/>
    <w:rsid w:val="4A4A538E"/>
    <w:rsid w:val="4A5A756D"/>
    <w:rsid w:val="4A5E7C7E"/>
    <w:rsid w:val="4A722B4C"/>
    <w:rsid w:val="4A785772"/>
    <w:rsid w:val="4A842E43"/>
    <w:rsid w:val="4A845C50"/>
    <w:rsid w:val="4A89105B"/>
    <w:rsid w:val="4AA341CC"/>
    <w:rsid w:val="4AA939F9"/>
    <w:rsid w:val="4AB21F2E"/>
    <w:rsid w:val="4AB57F7C"/>
    <w:rsid w:val="4AC13295"/>
    <w:rsid w:val="4AC31003"/>
    <w:rsid w:val="4AC40F4C"/>
    <w:rsid w:val="4ACC44B7"/>
    <w:rsid w:val="4AD25F33"/>
    <w:rsid w:val="4ADD641F"/>
    <w:rsid w:val="4ADF3B16"/>
    <w:rsid w:val="4AE072CB"/>
    <w:rsid w:val="4AE93159"/>
    <w:rsid w:val="4AE951C1"/>
    <w:rsid w:val="4AF02EA1"/>
    <w:rsid w:val="4AF86E0A"/>
    <w:rsid w:val="4B162612"/>
    <w:rsid w:val="4B174032"/>
    <w:rsid w:val="4B227C49"/>
    <w:rsid w:val="4B250CF8"/>
    <w:rsid w:val="4B2873FD"/>
    <w:rsid w:val="4B2E0668"/>
    <w:rsid w:val="4B3C6133"/>
    <w:rsid w:val="4B3D4DE9"/>
    <w:rsid w:val="4B6648CE"/>
    <w:rsid w:val="4B6747B3"/>
    <w:rsid w:val="4B7343CD"/>
    <w:rsid w:val="4B7727E1"/>
    <w:rsid w:val="4B7C4100"/>
    <w:rsid w:val="4B830F9B"/>
    <w:rsid w:val="4B8A54FE"/>
    <w:rsid w:val="4B8F2DD0"/>
    <w:rsid w:val="4B9B06E8"/>
    <w:rsid w:val="4B9B0C47"/>
    <w:rsid w:val="4B9D4011"/>
    <w:rsid w:val="4BB36BDD"/>
    <w:rsid w:val="4BB60507"/>
    <w:rsid w:val="4BC32290"/>
    <w:rsid w:val="4BD0339A"/>
    <w:rsid w:val="4BD41FD1"/>
    <w:rsid w:val="4BF21A31"/>
    <w:rsid w:val="4BF23C29"/>
    <w:rsid w:val="4BF32495"/>
    <w:rsid w:val="4BF64358"/>
    <w:rsid w:val="4BF838F0"/>
    <w:rsid w:val="4BF94548"/>
    <w:rsid w:val="4BFA3FA2"/>
    <w:rsid w:val="4C065916"/>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824411"/>
    <w:rsid w:val="4C9112B9"/>
    <w:rsid w:val="4C923A72"/>
    <w:rsid w:val="4C9B5631"/>
    <w:rsid w:val="4CB836A9"/>
    <w:rsid w:val="4CB96B0F"/>
    <w:rsid w:val="4CBD582C"/>
    <w:rsid w:val="4CC129C9"/>
    <w:rsid w:val="4CC82D24"/>
    <w:rsid w:val="4CD84F4C"/>
    <w:rsid w:val="4CE34E9F"/>
    <w:rsid w:val="4CE74FE6"/>
    <w:rsid w:val="4CF52D94"/>
    <w:rsid w:val="4CFC009E"/>
    <w:rsid w:val="4CFE5028"/>
    <w:rsid w:val="4D0B5968"/>
    <w:rsid w:val="4D19368B"/>
    <w:rsid w:val="4D1F5F05"/>
    <w:rsid w:val="4D351828"/>
    <w:rsid w:val="4D3E74CD"/>
    <w:rsid w:val="4D462159"/>
    <w:rsid w:val="4D47409F"/>
    <w:rsid w:val="4D525BE3"/>
    <w:rsid w:val="4D566017"/>
    <w:rsid w:val="4D6022FC"/>
    <w:rsid w:val="4D695FF9"/>
    <w:rsid w:val="4D7D3EFB"/>
    <w:rsid w:val="4D866DE7"/>
    <w:rsid w:val="4D8B0123"/>
    <w:rsid w:val="4D931B47"/>
    <w:rsid w:val="4DAF14C5"/>
    <w:rsid w:val="4DB76536"/>
    <w:rsid w:val="4DB9067A"/>
    <w:rsid w:val="4DBB4DF3"/>
    <w:rsid w:val="4DC020EA"/>
    <w:rsid w:val="4DC605B6"/>
    <w:rsid w:val="4DCB146F"/>
    <w:rsid w:val="4DD732D2"/>
    <w:rsid w:val="4DEC0985"/>
    <w:rsid w:val="4DF85277"/>
    <w:rsid w:val="4E012D36"/>
    <w:rsid w:val="4E024AB6"/>
    <w:rsid w:val="4E0538A3"/>
    <w:rsid w:val="4E0E6818"/>
    <w:rsid w:val="4E27683A"/>
    <w:rsid w:val="4E321D35"/>
    <w:rsid w:val="4E365B99"/>
    <w:rsid w:val="4E397241"/>
    <w:rsid w:val="4E4B2B03"/>
    <w:rsid w:val="4E4C50A3"/>
    <w:rsid w:val="4E510698"/>
    <w:rsid w:val="4E576363"/>
    <w:rsid w:val="4E5D49B1"/>
    <w:rsid w:val="4E635567"/>
    <w:rsid w:val="4E674786"/>
    <w:rsid w:val="4E742982"/>
    <w:rsid w:val="4E7F1E8F"/>
    <w:rsid w:val="4E7F5AF4"/>
    <w:rsid w:val="4E862481"/>
    <w:rsid w:val="4E9C0636"/>
    <w:rsid w:val="4E9D29FB"/>
    <w:rsid w:val="4EA22C4C"/>
    <w:rsid w:val="4EA30DB6"/>
    <w:rsid w:val="4EA7341F"/>
    <w:rsid w:val="4EBE1988"/>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E1077"/>
    <w:rsid w:val="4F546156"/>
    <w:rsid w:val="4F5F4D37"/>
    <w:rsid w:val="4F635510"/>
    <w:rsid w:val="4F6E70CD"/>
    <w:rsid w:val="4F7C5525"/>
    <w:rsid w:val="4F7E74BF"/>
    <w:rsid w:val="4F844A99"/>
    <w:rsid w:val="4F863785"/>
    <w:rsid w:val="4F9214FD"/>
    <w:rsid w:val="4F94662C"/>
    <w:rsid w:val="4FB00163"/>
    <w:rsid w:val="4FB208E7"/>
    <w:rsid w:val="4FBA3D69"/>
    <w:rsid w:val="4FBF4BE3"/>
    <w:rsid w:val="4FD97CFB"/>
    <w:rsid w:val="4FDA6E7F"/>
    <w:rsid w:val="4FDD4CC1"/>
    <w:rsid w:val="4FDD7677"/>
    <w:rsid w:val="4FE30332"/>
    <w:rsid w:val="4FE70BB4"/>
    <w:rsid w:val="4FE73C01"/>
    <w:rsid w:val="4FE87C31"/>
    <w:rsid w:val="4FF14DCF"/>
    <w:rsid w:val="4FF85C93"/>
    <w:rsid w:val="50070D86"/>
    <w:rsid w:val="500815B6"/>
    <w:rsid w:val="50096478"/>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9C6B0B"/>
    <w:rsid w:val="50A649F5"/>
    <w:rsid w:val="50A84A74"/>
    <w:rsid w:val="50AB5EB6"/>
    <w:rsid w:val="50AE6FE2"/>
    <w:rsid w:val="50B16618"/>
    <w:rsid w:val="50BB6306"/>
    <w:rsid w:val="50C4192A"/>
    <w:rsid w:val="50C816FE"/>
    <w:rsid w:val="50CD2E4B"/>
    <w:rsid w:val="50CE0462"/>
    <w:rsid w:val="50DE34BD"/>
    <w:rsid w:val="50F66F3D"/>
    <w:rsid w:val="50F8688B"/>
    <w:rsid w:val="50FC4E36"/>
    <w:rsid w:val="50FD7FD8"/>
    <w:rsid w:val="51046E4F"/>
    <w:rsid w:val="5105169B"/>
    <w:rsid w:val="51062881"/>
    <w:rsid w:val="510861B3"/>
    <w:rsid w:val="510956BD"/>
    <w:rsid w:val="51230220"/>
    <w:rsid w:val="5125367C"/>
    <w:rsid w:val="51471753"/>
    <w:rsid w:val="514C513A"/>
    <w:rsid w:val="514E4912"/>
    <w:rsid w:val="515400FF"/>
    <w:rsid w:val="515D735D"/>
    <w:rsid w:val="51623850"/>
    <w:rsid w:val="517418CD"/>
    <w:rsid w:val="51781A83"/>
    <w:rsid w:val="51802CA0"/>
    <w:rsid w:val="51867298"/>
    <w:rsid w:val="51894D69"/>
    <w:rsid w:val="518C5985"/>
    <w:rsid w:val="518D21E1"/>
    <w:rsid w:val="51930297"/>
    <w:rsid w:val="51953936"/>
    <w:rsid w:val="519E116A"/>
    <w:rsid w:val="51A2793A"/>
    <w:rsid w:val="51AD2B9C"/>
    <w:rsid w:val="51BA0CB7"/>
    <w:rsid w:val="51C41A0B"/>
    <w:rsid w:val="51C44E20"/>
    <w:rsid w:val="51CF2D5C"/>
    <w:rsid w:val="51D129CA"/>
    <w:rsid w:val="51D175BA"/>
    <w:rsid w:val="51D93F8A"/>
    <w:rsid w:val="51DA6E39"/>
    <w:rsid w:val="51DC16DA"/>
    <w:rsid w:val="51E5046A"/>
    <w:rsid w:val="52020133"/>
    <w:rsid w:val="520222D8"/>
    <w:rsid w:val="52272B85"/>
    <w:rsid w:val="52284E31"/>
    <w:rsid w:val="523E09B5"/>
    <w:rsid w:val="52655C3E"/>
    <w:rsid w:val="52680547"/>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03C9C"/>
    <w:rsid w:val="531A5380"/>
    <w:rsid w:val="531F0245"/>
    <w:rsid w:val="53227B62"/>
    <w:rsid w:val="532F77EA"/>
    <w:rsid w:val="53367575"/>
    <w:rsid w:val="533933AA"/>
    <w:rsid w:val="533947ED"/>
    <w:rsid w:val="533B7F54"/>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34707"/>
    <w:rsid w:val="54B3617B"/>
    <w:rsid w:val="54B56DF4"/>
    <w:rsid w:val="54B93943"/>
    <w:rsid w:val="54BE5578"/>
    <w:rsid w:val="54BF52B5"/>
    <w:rsid w:val="54D202CA"/>
    <w:rsid w:val="54D54E59"/>
    <w:rsid w:val="54DD41DB"/>
    <w:rsid w:val="54E0050A"/>
    <w:rsid w:val="54E358FF"/>
    <w:rsid w:val="54ED3D78"/>
    <w:rsid w:val="54F52BA3"/>
    <w:rsid w:val="54F54E04"/>
    <w:rsid w:val="54FA5E39"/>
    <w:rsid w:val="550236A7"/>
    <w:rsid w:val="550B4121"/>
    <w:rsid w:val="550D5CFC"/>
    <w:rsid w:val="550F3357"/>
    <w:rsid w:val="55126CC5"/>
    <w:rsid w:val="55197997"/>
    <w:rsid w:val="551B6FFD"/>
    <w:rsid w:val="551B7F0A"/>
    <w:rsid w:val="551C7446"/>
    <w:rsid w:val="55250F5E"/>
    <w:rsid w:val="55276C59"/>
    <w:rsid w:val="552864FA"/>
    <w:rsid w:val="552A6B56"/>
    <w:rsid w:val="552D2E70"/>
    <w:rsid w:val="5532385A"/>
    <w:rsid w:val="55371339"/>
    <w:rsid w:val="55381D42"/>
    <w:rsid w:val="55401B14"/>
    <w:rsid w:val="554748F2"/>
    <w:rsid w:val="554D414C"/>
    <w:rsid w:val="554E7279"/>
    <w:rsid w:val="55514205"/>
    <w:rsid w:val="55594E94"/>
    <w:rsid w:val="55594FFB"/>
    <w:rsid w:val="55637CEB"/>
    <w:rsid w:val="55677DDA"/>
    <w:rsid w:val="557225B1"/>
    <w:rsid w:val="55757FB9"/>
    <w:rsid w:val="558721D9"/>
    <w:rsid w:val="55884237"/>
    <w:rsid w:val="558C7FAA"/>
    <w:rsid w:val="55900510"/>
    <w:rsid w:val="559147DD"/>
    <w:rsid w:val="55947881"/>
    <w:rsid w:val="559E7237"/>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C1712"/>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A4344"/>
    <w:rsid w:val="572657E3"/>
    <w:rsid w:val="572D6499"/>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7A95"/>
    <w:rsid w:val="57A33734"/>
    <w:rsid w:val="57AB6ADD"/>
    <w:rsid w:val="57AC2A28"/>
    <w:rsid w:val="57B7178E"/>
    <w:rsid w:val="57B76EED"/>
    <w:rsid w:val="57BD72A7"/>
    <w:rsid w:val="57BE5838"/>
    <w:rsid w:val="57D16146"/>
    <w:rsid w:val="57D82354"/>
    <w:rsid w:val="57EB3AC0"/>
    <w:rsid w:val="57EB6DC4"/>
    <w:rsid w:val="57EF6043"/>
    <w:rsid w:val="57F829FA"/>
    <w:rsid w:val="57FC07D9"/>
    <w:rsid w:val="57FF6992"/>
    <w:rsid w:val="580B408B"/>
    <w:rsid w:val="580F1B21"/>
    <w:rsid w:val="58191E63"/>
    <w:rsid w:val="581B7E79"/>
    <w:rsid w:val="5824182F"/>
    <w:rsid w:val="58500F22"/>
    <w:rsid w:val="58527FAB"/>
    <w:rsid w:val="58587379"/>
    <w:rsid w:val="58685433"/>
    <w:rsid w:val="586D57A3"/>
    <w:rsid w:val="587917A0"/>
    <w:rsid w:val="587A4288"/>
    <w:rsid w:val="587B662F"/>
    <w:rsid w:val="5880052B"/>
    <w:rsid w:val="588E76C9"/>
    <w:rsid w:val="589571D3"/>
    <w:rsid w:val="58A176F1"/>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878D4"/>
    <w:rsid w:val="592A35DE"/>
    <w:rsid w:val="59302D11"/>
    <w:rsid w:val="593559FD"/>
    <w:rsid w:val="594079B2"/>
    <w:rsid w:val="59410047"/>
    <w:rsid w:val="59444905"/>
    <w:rsid w:val="594B10BF"/>
    <w:rsid w:val="594E7013"/>
    <w:rsid w:val="596726D9"/>
    <w:rsid w:val="596A688E"/>
    <w:rsid w:val="59835A6C"/>
    <w:rsid w:val="59843114"/>
    <w:rsid w:val="5987482A"/>
    <w:rsid w:val="598C6F19"/>
    <w:rsid w:val="59931352"/>
    <w:rsid w:val="599C49A8"/>
    <w:rsid w:val="59A04DAD"/>
    <w:rsid w:val="59A36725"/>
    <w:rsid w:val="59B176A7"/>
    <w:rsid w:val="59B21BF9"/>
    <w:rsid w:val="59BA46A2"/>
    <w:rsid w:val="59BB4EA3"/>
    <w:rsid w:val="59CF48AD"/>
    <w:rsid w:val="59D27FB3"/>
    <w:rsid w:val="59E9525B"/>
    <w:rsid w:val="59F01484"/>
    <w:rsid w:val="59F27B21"/>
    <w:rsid w:val="59F55223"/>
    <w:rsid w:val="59F70BAF"/>
    <w:rsid w:val="5A023A34"/>
    <w:rsid w:val="5A070890"/>
    <w:rsid w:val="5A0F52D4"/>
    <w:rsid w:val="5A1A17BB"/>
    <w:rsid w:val="5A297D0D"/>
    <w:rsid w:val="5A3C0F08"/>
    <w:rsid w:val="5A3E5B83"/>
    <w:rsid w:val="5A4440A8"/>
    <w:rsid w:val="5A4B1440"/>
    <w:rsid w:val="5A4B5B7A"/>
    <w:rsid w:val="5A514340"/>
    <w:rsid w:val="5A5663A3"/>
    <w:rsid w:val="5A571746"/>
    <w:rsid w:val="5A6253E3"/>
    <w:rsid w:val="5A6667DB"/>
    <w:rsid w:val="5A8344FC"/>
    <w:rsid w:val="5A8E6670"/>
    <w:rsid w:val="5A8E7336"/>
    <w:rsid w:val="5A912613"/>
    <w:rsid w:val="5A923F1B"/>
    <w:rsid w:val="5A9245E9"/>
    <w:rsid w:val="5A953D41"/>
    <w:rsid w:val="5A9A4D4B"/>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95A92"/>
    <w:rsid w:val="5B4D1F7C"/>
    <w:rsid w:val="5B564EFB"/>
    <w:rsid w:val="5B583BEB"/>
    <w:rsid w:val="5B6667A3"/>
    <w:rsid w:val="5B66707B"/>
    <w:rsid w:val="5B673066"/>
    <w:rsid w:val="5B690719"/>
    <w:rsid w:val="5B6A48A8"/>
    <w:rsid w:val="5B731FA9"/>
    <w:rsid w:val="5B785E83"/>
    <w:rsid w:val="5B7C1CD1"/>
    <w:rsid w:val="5B882E2D"/>
    <w:rsid w:val="5B9004A9"/>
    <w:rsid w:val="5B907C6C"/>
    <w:rsid w:val="5B9251EF"/>
    <w:rsid w:val="5BAA1391"/>
    <w:rsid w:val="5BAB5BC4"/>
    <w:rsid w:val="5BB20B74"/>
    <w:rsid w:val="5BC677D8"/>
    <w:rsid w:val="5BC82981"/>
    <w:rsid w:val="5BE15701"/>
    <w:rsid w:val="5BE36F91"/>
    <w:rsid w:val="5BE6235A"/>
    <w:rsid w:val="5BEB0120"/>
    <w:rsid w:val="5BEC175C"/>
    <w:rsid w:val="5C097C4E"/>
    <w:rsid w:val="5C0D717D"/>
    <w:rsid w:val="5C126D3C"/>
    <w:rsid w:val="5C1A3A93"/>
    <w:rsid w:val="5C1C16CF"/>
    <w:rsid w:val="5C235386"/>
    <w:rsid w:val="5C277EFF"/>
    <w:rsid w:val="5C3A76D7"/>
    <w:rsid w:val="5C3B6CFC"/>
    <w:rsid w:val="5C3C1AE5"/>
    <w:rsid w:val="5C4C2CF4"/>
    <w:rsid w:val="5C5A7F10"/>
    <w:rsid w:val="5C6422CD"/>
    <w:rsid w:val="5C6B1600"/>
    <w:rsid w:val="5C7D70D1"/>
    <w:rsid w:val="5C8542A8"/>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B7098"/>
    <w:rsid w:val="5D634782"/>
    <w:rsid w:val="5D6406D7"/>
    <w:rsid w:val="5D654194"/>
    <w:rsid w:val="5D676A87"/>
    <w:rsid w:val="5D6A7C12"/>
    <w:rsid w:val="5D6C741F"/>
    <w:rsid w:val="5D6E1B86"/>
    <w:rsid w:val="5D725A84"/>
    <w:rsid w:val="5D767D63"/>
    <w:rsid w:val="5D787085"/>
    <w:rsid w:val="5D8A2CFF"/>
    <w:rsid w:val="5D903810"/>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DD17E5"/>
    <w:rsid w:val="5DE4727B"/>
    <w:rsid w:val="5DE83E9E"/>
    <w:rsid w:val="5DEB2EC0"/>
    <w:rsid w:val="5DEC05A1"/>
    <w:rsid w:val="5DEE0433"/>
    <w:rsid w:val="5DFD51DB"/>
    <w:rsid w:val="5E0B0848"/>
    <w:rsid w:val="5E0F1B60"/>
    <w:rsid w:val="5E104696"/>
    <w:rsid w:val="5E12464A"/>
    <w:rsid w:val="5E1D4A67"/>
    <w:rsid w:val="5E1F2E4C"/>
    <w:rsid w:val="5E237029"/>
    <w:rsid w:val="5E3A3BD1"/>
    <w:rsid w:val="5E40628A"/>
    <w:rsid w:val="5E4F1C2F"/>
    <w:rsid w:val="5E5203B8"/>
    <w:rsid w:val="5E5D7D0E"/>
    <w:rsid w:val="5E64345A"/>
    <w:rsid w:val="5E683FF3"/>
    <w:rsid w:val="5E6A5399"/>
    <w:rsid w:val="5E704921"/>
    <w:rsid w:val="5E71373F"/>
    <w:rsid w:val="5E717191"/>
    <w:rsid w:val="5E761147"/>
    <w:rsid w:val="5E812F0A"/>
    <w:rsid w:val="5E830708"/>
    <w:rsid w:val="5E831398"/>
    <w:rsid w:val="5E84504D"/>
    <w:rsid w:val="5E85633A"/>
    <w:rsid w:val="5E884F3F"/>
    <w:rsid w:val="5E921A45"/>
    <w:rsid w:val="5E975993"/>
    <w:rsid w:val="5E9A0F1F"/>
    <w:rsid w:val="5EA627AF"/>
    <w:rsid w:val="5EB07A41"/>
    <w:rsid w:val="5EB51FDE"/>
    <w:rsid w:val="5EBA4472"/>
    <w:rsid w:val="5EC3227D"/>
    <w:rsid w:val="5ECA3D37"/>
    <w:rsid w:val="5EE153F8"/>
    <w:rsid w:val="5EE8115A"/>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78300A"/>
    <w:rsid w:val="5F875C0C"/>
    <w:rsid w:val="5F8F0B9E"/>
    <w:rsid w:val="5F8F267A"/>
    <w:rsid w:val="5F9B2DD0"/>
    <w:rsid w:val="5FA516DE"/>
    <w:rsid w:val="5FB30BD5"/>
    <w:rsid w:val="5FB7185B"/>
    <w:rsid w:val="5FB94C48"/>
    <w:rsid w:val="5FBC1D7A"/>
    <w:rsid w:val="5FCB54E2"/>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262EF"/>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0FD3115"/>
    <w:rsid w:val="61110088"/>
    <w:rsid w:val="61306E54"/>
    <w:rsid w:val="61421EFD"/>
    <w:rsid w:val="61457124"/>
    <w:rsid w:val="61507CAF"/>
    <w:rsid w:val="615C5041"/>
    <w:rsid w:val="61631B5D"/>
    <w:rsid w:val="617874FC"/>
    <w:rsid w:val="617A6EE7"/>
    <w:rsid w:val="617B67FA"/>
    <w:rsid w:val="617E7C88"/>
    <w:rsid w:val="6182260C"/>
    <w:rsid w:val="6197606A"/>
    <w:rsid w:val="61996169"/>
    <w:rsid w:val="619B60ED"/>
    <w:rsid w:val="61A773BF"/>
    <w:rsid w:val="61AD68BC"/>
    <w:rsid w:val="61AE5BE1"/>
    <w:rsid w:val="61B059A0"/>
    <w:rsid w:val="61B173D2"/>
    <w:rsid w:val="61D43510"/>
    <w:rsid w:val="61D43A2B"/>
    <w:rsid w:val="61DB52BD"/>
    <w:rsid w:val="61E34474"/>
    <w:rsid w:val="61FF316E"/>
    <w:rsid w:val="621542CB"/>
    <w:rsid w:val="62172EDA"/>
    <w:rsid w:val="62363666"/>
    <w:rsid w:val="623E513D"/>
    <w:rsid w:val="623F0B7F"/>
    <w:rsid w:val="624263A2"/>
    <w:rsid w:val="62456541"/>
    <w:rsid w:val="625272C3"/>
    <w:rsid w:val="6260007B"/>
    <w:rsid w:val="6260306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F05276"/>
    <w:rsid w:val="62F6011A"/>
    <w:rsid w:val="62FD2BA9"/>
    <w:rsid w:val="630C6A8F"/>
    <w:rsid w:val="6327422B"/>
    <w:rsid w:val="6328597C"/>
    <w:rsid w:val="632D44D6"/>
    <w:rsid w:val="632F2F8E"/>
    <w:rsid w:val="63314C2A"/>
    <w:rsid w:val="633B249F"/>
    <w:rsid w:val="63552D76"/>
    <w:rsid w:val="6359778B"/>
    <w:rsid w:val="635B63E3"/>
    <w:rsid w:val="63654417"/>
    <w:rsid w:val="638B5C1C"/>
    <w:rsid w:val="638C3395"/>
    <w:rsid w:val="63927E66"/>
    <w:rsid w:val="639C2AFB"/>
    <w:rsid w:val="63A163DD"/>
    <w:rsid w:val="63B82D87"/>
    <w:rsid w:val="63BA3154"/>
    <w:rsid w:val="63CA2E8B"/>
    <w:rsid w:val="63D4153E"/>
    <w:rsid w:val="63DC7755"/>
    <w:rsid w:val="63E05970"/>
    <w:rsid w:val="63E43D21"/>
    <w:rsid w:val="63E97377"/>
    <w:rsid w:val="63EA4DF9"/>
    <w:rsid w:val="63F47D2A"/>
    <w:rsid w:val="63FE2D33"/>
    <w:rsid w:val="64046427"/>
    <w:rsid w:val="64264A79"/>
    <w:rsid w:val="64290161"/>
    <w:rsid w:val="642D0D23"/>
    <w:rsid w:val="64304E58"/>
    <w:rsid w:val="64311867"/>
    <w:rsid w:val="64391ED3"/>
    <w:rsid w:val="64426B0C"/>
    <w:rsid w:val="6445632E"/>
    <w:rsid w:val="644D291F"/>
    <w:rsid w:val="644D3D02"/>
    <w:rsid w:val="645C7EA7"/>
    <w:rsid w:val="64742B63"/>
    <w:rsid w:val="647E661E"/>
    <w:rsid w:val="648939AA"/>
    <w:rsid w:val="64897A59"/>
    <w:rsid w:val="648C635C"/>
    <w:rsid w:val="64927F4F"/>
    <w:rsid w:val="649B1AC2"/>
    <w:rsid w:val="64A7467B"/>
    <w:rsid w:val="64B53322"/>
    <w:rsid w:val="64C61AF8"/>
    <w:rsid w:val="64C70058"/>
    <w:rsid w:val="64C86505"/>
    <w:rsid w:val="64D60913"/>
    <w:rsid w:val="64EC5D31"/>
    <w:rsid w:val="64F132B2"/>
    <w:rsid w:val="64FE700F"/>
    <w:rsid w:val="6500327F"/>
    <w:rsid w:val="6506609B"/>
    <w:rsid w:val="65083216"/>
    <w:rsid w:val="6508621E"/>
    <w:rsid w:val="65092761"/>
    <w:rsid w:val="653300A4"/>
    <w:rsid w:val="65460728"/>
    <w:rsid w:val="654F5DCC"/>
    <w:rsid w:val="655A04C2"/>
    <w:rsid w:val="65741425"/>
    <w:rsid w:val="65787DED"/>
    <w:rsid w:val="657E77AB"/>
    <w:rsid w:val="657F4212"/>
    <w:rsid w:val="65805F51"/>
    <w:rsid w:val="65822810"/>
    <w:rsid w:val="65870C45"/>
    <w:rsid w:val="65961885"/>
    <w:rsid w:val="659705FF"/>
    <w:rsid w:val="65A5156E"/>
    <w:rsid w:val="65A671FC"/>
    <w:rsid w:val="65AA6346"/>
    <w:rsid w:val="65B07458"/>
    <w:rsid w:val="65B51269"/>
    <w:rsid w:val="65B56C47"/>
    <w:rsid w:val="65B8262E"/>
    <w:rsid w:val="65BC15EE"/>
    <w:rsid w:val="65D11D0C"/>
    <w:rsid w:val="65D21E90"/>
    <w:rsid w:val="65D23D59"/>
    <w:rsid w:val="65D4773F"/>
    <w:rsid w:val="65DC5939"/>
    <w:rsid w:val="65DC7985"/>
    <w:rsid w:val="65DE3583"/>
    <w:rsid w:val="65E671BD"/>
    <w:rsid w:val="65EA2A9F"/>
    <w:rsid w:val="65F14641"/>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80005"/>
    <w:rsid w:val="665A078F"/>
    <w:rsid w:val="665B55EA"/>
    <w:rsid w:val="66641D58"/>
    <w:rsid w:val="66655F85"/>
    <w:rsid w:val="667C7AEC"/>
    <w:rsid w:val="66863A0F"/>
    <w:rsid w:val="668D465E"/>
    <w:rsid w:val="66984358"/>
    <w:rsid w:val="669903D3"/>
    <w:rsid w:val="669B7C76"/>
    <w:rsid w:val="669D04F1"/>
    <w:rsid w:val="66A200F8"/>
    <w:rsid w:val="66A30EC2"/>
    <w:rsid w:val="66A31FD2"/>
    <w:rsid w:val="66A73BC0"/>
    <w:rsid w:val="66AA4BA8"/>
    <w:rsid w:val="66AE0365"/>
    <w:rsid w:val="66C56058"/>
    <w:rsid w:val="66C955BD"/>
    <w:rsid w:val="66CE061A"/>
    <w:rsid w:val="66D97420"/>
    <w:rsid w:val="66DC317D"/>
    <w:rsid w:val="66E10E78"/>
    <w:rsid w:val="66E617C5"/>
    <w:rsid w:val="66E910C9"/>
    <w:rsid w:val="66F10C90"/>
    <w:rsid w:val="66F256A0"/>
    <w:rsid w:val="66F759A4"/>
    <w:rsid w:val="6700407C"/>
    <w:rsid w:val="670260F2"/>
    <w:rsid w:val="670C6D27"/>
    <w:rsid w:val="670D67CE"/>
    <w:rsid w:val="67105BAB"/>
    <w:rsid w:val="671578AF"/>
    <w:rsid w:val="671B1631"/>
    <w:rsid w:val="6721093A"/>
    <w:rsid w:val="672514BE"/>
    <w:rsid w:val="67253254"/>
    <w:rsid w:val="67302DC3"/>
    <w:rsid w:val="673762BE"/>
    <w:rsid w:val="674318B2"/>
    <w:rsid w:val="674D4B22"/>
    <w:rsid w:val="67570422"/>
    <w:rsid w:val="675D31B4"/>
    <w:rsid w:val="675D63FF"/>
    <w:rsid w:val="676B3A19"/>
    <w:rsid w:val="676D2F4B"/>
    <w:rsid w:val="677A266A"/>
    <w:rsid w:val="677C1A81"/>
    <w:rsid w:val="677E7198"/>
    <w:rsid w:val="67851681"/>
    <w:rsid w:val="67871AEB"/>
    <w:rsid w:val="678A426A"/>
    <w:rsid w:val="67914BE1"/>
    <w:rsid w:val="67984863"/>
    <w:rsid w:val="67A01F16"/>
    <w:rsid w:val="67B163D1"/>
    <w:rsid w:val="67B26B8D"/>
    <w:rsid w:val="67B62747"/>
    <w:rsid w:val="67CA69AB"/>
    <w:rsid w:val="67E81D04"/>
    <w:rsid w:val="67EF299C"/>
    <w:rsid w:val="67F45538"/>
    <w:rsid w:val="67F66B9D"/>
    <w:rsid w:val="680239EB"/>
    <w:rsid w:val="68042CB4"/>
    <w:rsid w:val="680722DA"/>
    <w:rsid w:val="6809309C"/>
    <w:rsid w:val="6810335D"/>
    <w:rsid w:val="68120E37"/>
    <w:rsid w:val="681306CB"/>
    <w:rsid w:val="682211D1"/>
    <w:rsid w:val="6842054B"/>
    <w:rsid w:val="684B40A8"/>
    <w:rsid w:val="685B4737"/>
    <w:rsid w:val="685C6395"/>
    <w:rsid w:val="686318DD"/>
    <w:rsid w:val="68635145"/>
    <w:rsid w:val="687F607E"/>
    <w:rsid w:val="688C4213"/>
    <w:rsid w:val="688D4D1E"/>
    <w:rsid w:val="68916B30"/>
    <w:rsid w:val="68936260"/>
    <w:rsid w:val="68950378"/>
    <w:rsid w:val="68984999"/>
    <w:rsid w:val="689A41FB"/>
    <w:rsid w:val="689C2BAE"/>
    <w:rsid w:val="689E57F0"/>
    <w:rsid w:val="68A34C5C"/>
    <w:rsid w:val="68B44788"/>
    <w:rsid w:val="68B96277"/>
    <w:rsid w:val="68C66268"/>
    <w:rsid w:val="68C8327F"/>
    <w:rsid w:val="68CB18F4"/>
    <w:rsid w:val="68DF0626"/>
    <w:rsid w:val="68E16F33"/>
    <w:rsid w:val="68E24981"/>
    <w:rsid w:val="68E95F71"/>
    <w:rsid w:val="690218CF"/>
    <w:rsid w:val="69033A72"/>
    <w:rsid w:val="69093C6F"/>
    <w:rsid w:val="690A6A65"/>
    <w:rsid w:val="69123F86"/>
    <w:rsid w:val="69136384"/>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CF39A4"/>
    <w:rsid w:val="69D306AC"/>
    <w:rsid w:val="69E00E47"/>
    <w:rsid w:val="69EC6D9F"/>
    <w:rsid w:val="69EE73C1"/>
    <w:rsid w:val="69F0745A"/>
    <w:rsid w:val="69F66961"/>
    <w:rsid w:val="6A0961EA"/>
    <w:rsid w:val="6A0D20F2"/>
    <w:rsid w:val="6A1742A1"/>
    <w:rsid w:val="6A1B7C83"/>
    <w:rsid w:val="6A1C4CE3"/>
    <w:rsid w:val="6A1D59EC"/>
    <w:rsid w:val="6A2353D4"/>
    <w:rsid w:val="6A247F72"/>
    <w:rsid w:val="6A3131E1"/>
    <w:rsid w:val="6A3E2393"/>
    <w:rsid w:val="6A435B92"/>
    <w:rsid w:val="6A444DB8"/>
    <w:rsid w:val="6A4C10CF"/>
    <w:rsid w:val="6A4D4828"/>
    <w:rsid w:val="6A4D6D96"/>
    <w:rsid w:val="6A516AC3"/>
    <w:rsid w:val="6A5303BA"/>
    <w:rsid w:val="6A5F3F1C"/>
    <w:rsid w:val="6A677080"/>
    <w:rsid w:val="6A6C5C1E"/>
    <w:rsid w:val="6A711183"/>
    <w:rsid w:val="6A7468D5"/>
    <w:rsid w:val="6A790E3A"/>
    <w:rsid w:val="6A7B4B9C"/>
    <w:rsid w:val="6A7E1AAF"/>
    <w:rsid w:val="6A84768F"/>
    <w:rsid w:val="6A917541"/>
    <w:rsid w:val="6A9C00F5"/>
    <w:rsid w:val="6AA35330"/>
    <w:rsid w:val="6AA37512"/>
    <w:rsid w:val="6AAC0B91"/>
    <w:rsid w:val="6AAF014C"/>
    <w:rsid w:val="6AC07690"/>
    <w:rsid w:val="6ACB082B"/>
    <w:rsid w:val="6AD3247E"/>
    <w:rsid w:val="6AD716BA"/>
    <w:rsid w:val="6AE21187"/>
    <w:rsid w:val="6AE4699C"/>
    <w:rsid w:val="6AF124EA"/>
    <w:rsid w:val="6AF317C6"/>
    <w:rsid w:val="6AF64D9A"/>
    <w:rsid w:val="6B09696B"/>
    <w:rsid w:val="6B0B21E1"/>
    <w:rsid w:val="6B1235B7"/>
    <w:rsid w:val="6B127D23"/>
    <w:rsid w:val="6B1876E0"/>
    <w:rsid w:val="6B2167BD"/>
    <w:rsid w:val="6B2B0EFD"/>
    <w:rsid w:val="6B2C13E4"/>
    <w:rsid w:val="6B2D2EEB"/>
    <w:rsid w:val="6B346460"/>
    <w:rsid w:val="6B402494"/>
    <w:rsid w:val="6B410613"/>
    <w:rsid w:val="6B4B0A4C"/>
    <w:rsid w:val="6B4B36C9"/>
    <w:rsid w:val="6B4E75E6"/>
    <w:rsid w:val="6B50310B"/>
    <w:rsid w:val="6B5045E2"/>
    <w:rsid w:val="6B517D2C"/>
    <w:rsid w:val="6B5B3B9E"/>
    <w:rsid w:val="6B5C4553"/>
    <w:rsid w:val="6B5C5561"/>
    <w:rsid w:val="6B603DA2"/>
    <w:rsid w:val="6B695848"/>
    <w:rsid w:val="6B713683"/>
    <w:rsid w:val="6B730045"/>
    <w:rsid w:val="6B736A2E"/>
    <w:rsid w:val="6B874340"/>
    <w:rsid w:val="6B884219"/>
    <w:rsid w:val="6B8A6FE8"/>
    <w:rsid w:val="6B90781F"/>
    <w:rsid w:val="6B961E42"/>
    <w:rsid w:val="6BA6663C"/>
    <w:rsid w:val="6BA9194F"/>
    <w:rsid w:val="6BB81A6C"/>
    <w:rsid w:val="6BE51CE3"/>
    <w:rsid w:val="6BE622E5"/>
    <w:rsid w:val="6BE727F5"/>
    <w:rsid w:val="6C0858B3"/>
    <w:rsid w:val="6C0C7835"/>
    <w:rsid w:val="6C1B11A9"/>
    <w:rsid w:val="6C240DF3"/>
    <w:rsid w:val="6C246740"/>
    <w:rsid w:val="6C273465"/>
    <w:rsid w:val="6C41527C"/>
    <w:rsid w:val="6C45610F"/>
    <w:rsid w:val="6C550EC6"/>
    <w:rsid w:val="6C59472D"/>
    <w:rsid w:val="6C5A4564"/>
    <w:rsid w:val="6C5E0510"/>
    <w:rsid w:val="6C603744"/>
    <w:rsid w:val="6C610784"/>
    <w:rsid w:val="6C637CCF"/>
    <w:rsid w:val="6C6448C0"/>
    <w:rsid w:val="6C731C6C"/>
    <w:rsid w:val="6C733992"/>
    <w:rsid w:val="6C7802EB"/>
    <w:rsid w:val="6C89456C"/>
    <w:rsid w:val="6C9611B5"/>
    <w:rsid w:val="6CA20D5B"/>
    <w:rsid w:val="6CB71894"/>
    <w:rsid w:val="6CD431E3"/>
    <w:rsid w:val="6CD50C99"/>
    <w:rsid w:val="6CD63FB3"/>
    <w:rsid w:val="6CDD06CC"/>
    <w:rsid w:val="6CDF2E4F"/>
    <w:rsid w:val="6CFB0ED9"/>
    <w:rsid w:val="6CFE035F"/>
    <w:rsid w:val="6CFF5623"/>
    <w:rsid w:val="6D000552"/>
    <w:rsid w:val="6D056EA6"/>
    <w:rsid w:val="6D13119B"/>
    <w:rsid w:val="6D1766A9"/>
    <w:rsid w:val="6D221E52"/>
    <w:rsid w:val="6D227835"/>
    <w:rsid w:val="6D2663D9"/>
    <w:rsid w:val="6D2834C8"/>
    <w:rsid w:val="6D2F1F0B"/>
    <w:rsid w:val="6D3C6626"/>
    <w:rsid w:val="6D3E495C"/>
    <w:rsid w:val="6D441C30"/>
    <w:rsid w:val="6D456747"/>
    <w:rsid w:val="6D5D0DB5"/>
    <w:rsid w:val="6D6855B1"/>
    <w:rsid w:val="6D7B4AB7"/>
    <w:rsid w:val="6D836C02"/>
    <w:rsid w:val="6D874AC3"/>
    <w:rsid w:val="6D89784B"/>
    <w:rsid w:val="6D9057BE"/>
    <w:rsid w:val="6D9E0566"/>
    <w:rsid w:val="6DA005C5"/>
    <w:rsid w:val="6DB10625"/>
    <w:rsid w:val="6DBE7F27"/>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57BF6"/>
    <w:rsid w:val="6E4B0158"/>
    <w:rsid w:val="6E4D611F"/>
    <w:rsid w:val="6E541F70"/>
    <w:rsid w:val="6E567C9E"/>
    <w:rsid w:val="6E574242"/>
    <w:rsid w:val="6E635028"/>
    <w:rsid w:val="6E636A71"/>
    <w:rsid w:val="6E685B0A"/>
    <w:rsid w:val="6E6C7503"/>
    <w:rsid w:val="6E6C7BFA"/>
    <w:rsid w:val="6E6E0DBB"/>
    <w:rsid w:val="6E73404A"/>
    <w:rsid w:val="6E7355AA"/>
    <w:rsid w:val="6E7C0353"/>
    <w:rsid w:val="6E7D300B"/>
    <w:rsid w:val="6E823708"/>
    <w:rsid w:val="6E920B3F"/>
    <w:rsid w:val="6E920B5B"/>
    <w:rsid w:val="6E990B16"/>
    <w:rsid w:val="6EAC6424"/>
    <w:rsid w:val="6EB169D3"/>
    <w:rsid w:val="6EB21539"/>
    <w:rsid w:val="6EB32B21"/>
    <w:rsid w:val="6EB829B1"/>
    <w:rsid w:val="6EB978A9"/>
    <w:rsid w:val="6EBE4B08"/>
    <w:rsid w:val="6EBF71F5"/>
    <w:rsid w:val="6EC45F46"/>
    <w:rsid w:val="6ECC3A24"/>
    <w:rsid w:val="6ECD7C9F"/>
    <w:rsid w:val="6ED0689A"/>
    <w:rsid w:val="6ED86D3E"/>
    <w:rsid w:val="6EE9744F"/>
    <w:rsid w:val="6EEC3F7C"/>
    <w:rsid w:val="6EF3602C"/>
    <w:rsid w:val="6EFE1485"/>
    <w:rsid w:val="6F031F8E"/>
    <w:rsid w:val="6F0D382C"/>
    <w:rsid w:val="6F0F0878"/>
    <w:rsid w:val="6F1502CF"/>
    <w:rsid w:val="6F2632E8"/>
    <w:rsid w:val="6F30363A"/>
    <w:rsid w:val="6F3316E5"/>
    <w:rsid w:val="6F393031"/>
    <w:rsid w:val="6F3F40F9"/>
    <w:rsid w:val="6F5E0205"/>
    <w:rsid w:val="6F5F15C8"/>
    <w:rsid w:val="6F5F4FCB"/>
    <w:rsid w:val="6F6F14E1"/>
    <w:rsid w:val="6F86160F"/>
    <w:rsid w:val="6F884D8A"/>
    <w:rsid w:val="6F89712B"/>
    <w:rsid w:val="6F967320"/>
    <w:rsid w:val="6F983C13"/>
    <w:rsid w:val="6F983DCD"/>
    <w:rsid w:val="6FA629D4"/>
    <w:rsid w:val="6FA75ADB"/>
    <w:rsid w:val="6FAF2E30"/>
    <w:rsid w:val="6FB77ED4"/>
    <w:rsid w:val="6FBA2FDB"/>
    <w:rsid w:val="6FBC4F07"/>
    <w:rsid w:val="6FBD4D2F"/>
    <w:rsid w:val="6FBF4710"/>
    <w:rsid w:val="6FC9109F"/>
    <w:rsid w:val="6FDB518F"/>
    <w:rsid w:val="6FE529ED"/>
    <w:rsid w:val="6FEF54BA"/>
    <w:rsid w:val="6FF733A7"/>
    <w:rsid w:val="6FFD777F"/>
    <w:rsid w:val="70003DD9"/>
    <w:rsid w:val="70072915"/>
    <w:rsid w:val="70172090"/>
    <w:rsid w:val="70195E88"/>
    <w:rsid w:val="701D43BA"/>
    <w:rsid w:val="702B6F43"/>
    <w:rsid w:val="7030429F"/>
    <w:rsid w:val="7032079E"/>
    <w:rsid w:val="70375C5A"/>
    <w:rsid w:val="703947D7"/>
    <w:rsid w:val="703C186A"/>
    <w:rsid w:val="70570007"/>
    <w:rsid w:val="705838F6"/>
    <w:rsid w:val="705843B4"/>
    <w:rsid w:val="706417AF"/>
    <w:rsid w:val="70655A58"/>
    <w:rsid w:val="707263E0"/>
    <w:rsid w:val="707A326C"/>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20C02"/>
    <w:rsid w:val="71477682"/>
    <w:rsid w:val="71545B37"/>
    <w:rsid w:val="71570E43"/>
    <w:rsid w:val="71573E01"/>
    <w:rsid w:val="71702748"/>
    <w:rsid w:val="71862E8D"/>
    <w:rsid w:val="71867894"/>
    <w:rsid w:val="718B0CD8"/>
    <w:rsid w:val="719F7A78"/>
    <w:rsid w:val="71A73EB4"/>
    <w:rsid w:val="71AD06DE"/>
    <w:rsid w:val="71B25E63"/>
    <w:rsid w:val="71B30ACA"/>
    <w:rsid w:val="71B623F6"/>
    <w:rsid w:val="71C7540C"/>
    <w:rsid w:val="71E41366"/>
    <w:rsid w:val="71ED2496"/>
    <w:rsid w:val="71F14FC5"/>
    <w:rsid w:val="71F64A63"/>
    <w:rsid w:val="71F870B8"/>
    <w:rsid w:val="7200001E"/>
    <w:rsid w:val="72021233"/>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149A7"/>
    <w:rsid w:val="72B81A8A"/>
    <w:rsid w:val="72BD018D"/>
    <w:rsid w:val="72C13ED7"/>
    <w:rsid w:val="72C33F7A"/>
    <w:rsid w:val="72CF1AC7"/>
    <w:rsid w:val="72CF396A"/>
    <w:rsid w:val="72D61814"/>
    <w:rsid w:val="72E42AFA"/>
    <w:rsid w:val="72E85578"/>
    <w:rsid w:val="72EB4466"/>
    <w:rsid w:val="72F034F4"/>
    <w:rsid w:val="72F03FD6"/>
    <w:rsid w:val="72FD426E"/>
    <w:rsid w:val="73005DAB"/>
    <w:rsid w:val="730162BB"/>
    <w:rsid w:val="730275C0"/>
    <w:rsid w:val="73043CFC"/>
    <w:rsid w:val="731A0595"/>
    <w:rsid w:val="732B736C"/>
    <w:rsid w:val="732C334F"/>
    <w:rsid w:val="73303587"/>
    <w:rsid w:val="7349599B"/>
    <w:rsid w:val="734F0C79"/>
    <w:rsid w:val="734F4185"/>
    <w:rsid w:val="73520620"/>
    <w:rsid w:val="735206FC"/>
    <w:rsid w:val="7363274A"/>
    <w:rsid w:val="736462D9"/>
    <w:rsid w:val="73691A4A"/>
    <w:rsid w:val="737025EA"/>
    <w:rsid w:val="7371152B"/>
    <w:rsid w:val="73736DAC"/>
    <w:rsid w:val="73777B4D"/>
    <w:rsid w:val="737D6CF9"/>
    <w:rsid w:val="7383627D"/>
    <w:rsid w:val="73856458"/>
    <w:rsid w:val="738A6895"/>
    <w:rsid w:val="73917325"/>
    <w:rsid w:val="7395427D"/>
    <w:rsid w:val="73A023A1"/>
    <w:rsid w:val="73A558B6"/>
    <w:rsid w:val="73B047C3"/>
    <w:rsid w:val="73B62302"/>
    <w:rsid w:val="73BC7089"/>
    <w:rsid w:val="73BE7067"/>
    <w:rsid w:val="73C34124"/>
    <w:rsid w:val="73DC33F5"/>
    <w:rsid w:val="73E406FD"/>
    <w:rsid w:val="73E52294"/>
    <w:rsid w:val="73EC5464"/>
    <w:rsid w:val="73FF2D64"/>
    <w:rsid w:val="7403656F"/>
    <w:rsid w:val="740F108B"/>
    <w:rsid w:val="74137154"/>
    <w:rsid w:val="741C7D0C"/>
    <w:rsid w:val="741F2652"/>
    <w:rsid w:val="7421310D"/>
    <w:rsid w:val="74257F79"/>
    <w:rsid w:val="74273820"/>
    <w:rsid w:val="7427471C"/>
    <w:rsid w:val="74330EFD"/>
    <w:rsid w:val="74355B0B"/>
    <w:rsid w:val="7436670E"/>
    <w:rsid w:val="743C7157"/>
    <w:rsid w:val="74416F54"/>
    <w:rsid w:val="744B354F"/>
    <w:rsid w:val="7450294E"/>
    <w:rsid w:val="74543139"/>
    <w:rsid w:val="746651C8"/>
    <w:rsid w:val="746B732F"/>
    <w:rsid w:val="746C377D"/>
    <w:rsid w:val="746E18CB"/>
    <w:rsid w:val="746F3904"/>
    <w:rsid w:val="7473071B"/>
    <w:rsid w:val="748D52FA"/>
    <w:rsid w:val="748D6EB4"/>
    <w:rsid w:val="74993216"/>
    <w:rsid w:val="749C4933"/>
    <w:rsid w:val="74A122CC"/>
    <w:rsid w:val="74A756F2"/>
    <w:rsid w:val="74B44784"/>
    <w:rsid w:val="74B808BF"/>
    <w:rsid w:val="74C03187"/>
    <w:rsid w:val="74C06691"/>
    <w:rsid w:val="74DE6B05"/>
    <w:rsid w:val="74E4756E"/>
    <w:rsid w:val="74E86DF6"/>
    <w:rsid w:val="74EB43B2"/>
    <w:rsid w:val="74ED19FF"/>
    <w:rsid w:val="74F747A8"/>
    <w:rsid w:val="74F805A6"/>
    <w:rsid w:val="7506779E"/>
    <w:rsid w:val="75084E8F"/>
    <w:rsid w:val="7509261E"/>
    <w:rsid w:val="750B5416"/>
    <w:rsid w:val="750F16AB"/>
    <w:rsid w:val="751F612D"/>
    <w:rsid w:val="75202656"/>
    <w:rsid w:val="752231CE"/>
    <w:rsid w:val="7537255A"/>
    <w:rsid w:val="75396D51"/>
    <w:rsid w:val="75434B0A"/>
    <w:rsid w:val="75581C92"/>
    <w:rsid w:val="75752B04"/>
    <w:rsid w:val="757D3665"/>
    <w:rsid w:val="758910BB"/>
    <w:rsid w:val="75955DA9"/>
    <w:rsid w:val="75977910"/>
    <w:rsid w:val="759C00A8"/>
    <w:rsid w:val="759F2A35"/>
    <w:rsid w:val="75B15C41"/>
    <w:rsid w:val="75BB4EC5"/>
    <w:rsid w:val="75CC5191"/>
    <w:rsid w:val="75D12923"/>
    <w:rsid w:val="75E6623C"/>
    <w:rsid w:val="75EA364B"/>
    <w:rsid w:val="75F20996"/>
    <w:rsid w:val="75F93477"/>
    <w:rsid w:val="75F96973"/>
    <w:rsid w:val="75FE5FB4"/>
    <w:rsid w:val="75FF7EA2"/>
    <w:rsid w:val="760E78C2"/>
    <w:rsid w:val="76123E1D"/>
    <w:rsid w:val="761270F3"/>
    <w:rsid w:val="7618556D"/>
    <w:rsid w:val="762A17C0"/>
    <w:rsid w:val="762E4274"/>
    <w:rsid w:val="762E6798"/>
    <w:rsid w:val="76387379"/>
    <w:rsid w:val="76425118"/>
    <w:rsid w:val="76473B19"/>
    <w:rsid w:val="7647727C"/>
    <w:rsid w:val="764838B9"/>
    <w:rsid w:val="764B15DA"/>
    <w:rsid w:val="764B5F41"/>
    <w:rsid w:val="764C09B4"/>
    <w:rsid w:val="764F5A52"/>
    <w:rsid w:val="7651184F"/>
    <w:rsid w:val="765E2788"/>
    <w:rsid w:val="76647980"/>
    <w:rsid w:val="766A4A0D"/>
    <w:rsid w:val="76725A45"/>
    <w:rsid w:val="767D1978"/>
    <w:rsid w:val="767F4BF8"/>
    <w:rsid w:val="768C454B"/>
    <w:rsid w:val="76910A96"/>
    <w:rsid w:val="7692667A"/>
    <w:rsid w:val="76982273"/>
    <w:rsid w:val="769A7352"/>
    <w:rsid w:val="76A177B8"/>
    <w:rsid w:val="76A562BA"/>
    <w:rsid w:val="76AD2761"/>
    <w:rsid w:val="76B64E53"/>
    <w:rsid w:val="76B8001A"/>
    <w:rsid w:val="76B81599"/>
    <w:rsid w:val="76BB2F21"/>
    <w:rsid w:val="76BB47BC"/>
    <w:rsid w:val="76BC314A"/>
    <w:rsid w:val="76C6523D"/>
    <w:rsid w:val="76CF29D3"/>
    <w:rsid w:val="76E422FF"/>
    <w:rsid w:val="76EB7E51"/>
    <w:rsid w:val="76EC51FD"/>
    <w:rsid w:val="76F00AAF"/>
    <w:rsid w:val="76F21658"/>
    <w:rsid w:val="76F410B8"/>
    <w:rsid w:val="76F70779"/>
    <w:rsid w:val="770A1659"/>
    <w:rsid w:val="771B67DF"/>
    <w:rsid w:val="77241319"/>
    <w:rsid w:val="77272CAB"/>
    <w:rsid w:val="772C0FCF"/>
    <w:rsid w:val="77304C77"/>
    <w:rsid w:val="77335384"/>
    <w:rsid w:val="77451578"/>
    <w:rsid w:val="77537908"/>
    <w:rsid w:val="77571758"/>
    <w:rsid w:val="77576666"/>
    <w:rsid w:val="775871DA"/>
    <w:rsid w:val="77591ED3"/>
    <w:rsid w:val="775C26D4"/>
    <w:rsid w:val="776677F4"/>
    <w:rsid w:val="77692EA3"/>
    <w:rsid w:val="776C305B"/>
    <w:rsid w:val="77796A0F"/>
    <w:rsid w:val="777E00B2"/>
    <w:rsid w:val="77825248"/>
    <w:rsid w:val="7785098B"/>
    <w:rsid w:val="77870D91"/>
    <w:rsid w:val="778A3229"/>
    <w:rsid w:val="779258CC"/>
    <w:rsid w:val="7794068F"/>
    <w:rsid w:val="779A096B"/>
    <w:rsid w:val="779B52FF"/>
    <w:rsid w:val="779D1A75"/>
    <w:rsid w:val="77A00E75"/>
    <w:rsid w:val="77A30552"/>
    <w:rsid w:val="77A80D17"/>
    <w:rsid w:val="77B2356F"/>
    <w:rsid w:val="77B841F3"/>
    <w:rsid w:val="77C078B1"/>
    <w:rsid w:val="77C6528F"/>
    <w:rsid w:val="77D44398"/>
    <w:rsid w:val="77DE5E93"/>
    <w:rsid w:val="77E66E3C"/>
    <w:rsid w:val="77F3789A"/>
    <w:rsid w:val="780326B9"/>
    <w:rsid w:val="780332E5"/>
    <w:rsid w:val="780B3500"/>
    <w:rsid w:val="782127F0"/>
    <w:rsid w:val="78271E5B"/>
    <w:rsid w:val="783201C2"/>
    <w:rsid w:val="7833711D"/>
    <w:rsid w:val="78460D63"/>
    <w:rsid w:val="78497C2E"/>
    <w:rsid w:val="78502D35"/>
    <w:rsid w:val="7854087B"/>
    <w:rsid w:val="786A4053"/>
    <w:rsid w:val="78782A0D"/>
    <w:rsid w:val="78785A2F"/>
    <w:rsid w:val="787B5060"/>
    <w:rsid w:val="787E0EB9"/>
    <w:rsid w:val="788720E7"/>
    <w:rsid w:val="789B58CF"/>
    <w:rsid w:val="78A90B04"/>
    <w:rsid w:val="78AA4E21"/>
    <w:rsid w:val="78AF6BB3"/>
    <w:rsid w:val="78C26D70"/>
    <w:rsid w:val="78C53485"/>
    <w:rsid w:val="78C6693F"/>
    <w:rsid w:val="78C76A01"/>
    <w:rsid w:val="78D508BC"/>
    <w:rsid w:val="78D6764B"/>
    <w:rsid w:val="78DF0E6D"/>
    <w:rsid w:val="78DF3BEC"/>
    <w:rsid w:val="78E3369B"/>
    <w:rsid w:val="78EC45D8"/>
    <w:rsid w:val="78EC6DF0"/>
    <w:rsid w:val="78F35E8F"/>
    <w:rsid w:val="78F5335B"/>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5F3849"/>
    <w:rsid w:val="79632967"/>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B6E2C"/>
    <w:rsid w:val="7A0E2780"/>
    <w:rsid w:val="7A36322F"/>
    <w:rsid w:val="7A4B21AB"/>
    <w:rsid w:val="7A4C2D60"/>
    <w:rsid w:val="7A5C5095"/>
    <w:rsid w:val="7A5E0869"/>
    <w:rsid w:val="7A620F06"/>
    <w:rsid w:val="7A6E38A0"/>
    <w:rsid w:val="7A6E4BF5"/>
    <w:rsid w:val="7A7206CB"/>
    <w:rsid w:val="7A78261A"/>
    <w:rsid w:val="7A851D5D"/>
    <w:rsid w:val="7A8A2267"/>
    <w:rsid w:val="7AA5314C"/>
    <w:rsid w:val="7AAF50F0"/>
    <w:rsid w:val="7AB53126"/>
    <w:rsid w:val="7AB722E4"/>
    <w:rsid w:val="7AB76FE8"/>
    <w:rsid w:val="7AC06271"/>
    <w:rsid w:val="7AC73DFD"/>
    <w:rsid w:val="7AD268E2"/>
    <w:rsid w:val="7ADC0B33"/>
    <w:rsid w:val="7ADF72B5"/>
    <w:rsid w:val="7AE14C19"/>
    <w:rsid w:val="7AEA174E"/>
    <w:rsid w:val="7AEE2FE5"/>
    <w:rsid w:val="7AF1626C"/>
    <w:rsid w:val="7AFA134C"/>
    <w:rsid w:val="7B274176"/>
    <w:rsid w:val="7B276F1B"/>
    <w:rsid w:val="7B306163"/>
    <w:rsid w:val="7B31652B"/>
    <w:rsid w:val="7B3E17AA"/>
    <w:rsid w:val="7B401C79"/>
    <w:rsid w:val="7B440ED6"/>
    <w:rsid w:val="7B4678D7"/>
    <w:rsid w:val="7B4B2A93"/>
    <w:rsid w:val="7B527515"/>
    <w:rsid w:val="7B581154"/>
    <w:rsid w:val="7B5A589C"/>
    <w:rsid w:val="7B890A24"/>
    <w:rsid w:val="7B8A4A8A"/>
    <w:rsid w:val="7B8E265B"/>
    <w:rsid w:val="7B99266D"/>
    <w:rsid w:val="7BA44EC1"/>
    <w:rsid w:val="7BA54136"/>
    <w:rsid w:val="7BAA485C"/>
    <w:rsid w:val="7BAD1591"/>
    <w:rsid w:val="7BC04B6A"/>
    <w:rsid w:val="7BCD64C2"/>
    <w:rsid w:val="7BD100FC"/>
    <w:rsid w:val="7BD3716B"/>
    <w:rsid w:val="7BE24602"/>
    <w:rsid w:val="7BEC2711"/>
    <w:rsid w:val="7BF55850"/>
    <w:rsid w:val="7C050B07"/>
    <w:rsid w:val="7C1054B7"/>
    <w:rsid w:val="7C124CBC"/>
    <w:rsid w:val="7C26369C"/>
    <w:rsid w:val="7C2A465C"/>
    <w:rsid w:val="7C305879"/>
    <w:rsid w:val="7C3133D9"/>
    <w:rsid w:val="7C34521A"/>
    <w:rsid w:val="7C4A2BD1"/>
    <w:rsid w:val="7C516EE4"/>
    <w:rsid w:val="7C576C70"/>
    <w:rsid w:val="7C5A2796"/>
    <w:rsid w:val="7C6E4349"/>
    <w:rsid w:val="7C77043F"/>
    <w:rsid w:val="7C815ED2"/>
    <w:rsid w:val="7C8A7CDC"/>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03851"/>
    <w:rsid w:val="7DC51C1A"/>
    <w:rsid w:val="7DCD1A27"/>
    <w:rsid w:val="7DCD4739"/>
    <w:rsid w:val="7DCD4EB5"/>
    <w:rsid w:val="7DEC4723"/>
    <w:rsid w:val="7DFD4B87"/>
    <w:rsid w:val="7E090313"/>
    <w:rsid w:val="7E105142"/>
    <w:rsid w:val="7E3528B1"/>
    <w:rsid w:val="7E3E0FEC"/>
    <w:rsid w:val="7E3E1EF2"/>
    <w:rsid w:val="7E566EA2"/>
    <w:rsid w:val="7E5C1ABA"/>
    <w:rsid w:val="7E61281D"/>
    <w:rsid w:val="7E622778"/>
    <w:rsid w:val="7E64317E"/>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B5719"/>
    <w:rsid w:val="7EF215E8"/>
    <w:rsid w:val="7EF525E1"/>
    <w:rsid w:val="7EF74FC9"/>
    <w:rsid w:val="7EFB0D19"/>
    <w:rsid w:val="7EFF7307"/>
    <w:rsid w:val="7EFF7828"/>
    <w:rsid w:val="7F000B6A"/>
    <w:rsid w:val="7F022EBD"/>
    <w:rsid w:val="7F0B5962"/>
    <w:rsid w:val="7F0C2035"/>
    <w:rsid w:val="7F0F7992"/>
    <w:rsid w:val="7F1B0865"/>
    <w:rsid w:val="7F271AA3"/>
    <w:rsid w:val="7F2B126A"/>
    <w:rsid w:val="7F4840C1"/>
    <w:rsid w:val="7F542B37"/>
    <w:rsid w:val="7F691199"/>
    <w:rsid w:val="7F6B2248"/>
    <w:rsid w:val="7F7B5AF0"/>
    <w:rsid w:val="7F7D7A8E"/>
    <w:rsid w:val="7F815141"/>
    <w:rsid w:val="7F872588"/>
    <w:rsid w:val="7F8725BA"/>
    <w:rsid w:val="7F8C6A8F"/>
    <w:rsid w:val="7F9C175D"/>
    <w:rsid w:val="7FA85877"/>
    <w:rsid w:val="7FAB3A81"/>
    <w:rsid w:val="7FB30D4E"/>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table" w:customStyle="1" w:styleId="80">
    <w:name w:val="TableGrid1"/>
    <w:basedOn w:val="22"/>
    <w:qFormat/>
    <w:uiPriority w:val="39"/>
    <w:pPr>
      <w:overflowPunct w:val="0"/>
      <w:autoSpaceDE w:val="0"/>
      <w:autoSpaceDN w:val="0"/>
      <w:adjustRightInd w:val="0"/>
      <w:spacing w:after="180"/>
      <w:textAlignment w:val="baseline"/>
    </w:pPr>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82">
    <w:name w:val="via1"/>
    <w:basedOn w:val="24"/>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2024-08-09T06:28:37Z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